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3F1" w:rsidRDefault="000D0F1B" w:rsidP="007725D5">
      <w:pPr>
        <w:widowControl/>
        <w:adjustRightInd w:val="0"/>
        <w:snapToGrid w:val="0"/>
        <w:spacing w:beforeLines="50" w:line="360" w:lineRule="auto"/>
        <w:jc w:val="center"/>
        <w:rPr>
          <w:rStyle w:val="a7"/>
          <w:rFonts w:ascii="黑体" w:eastAsia="黑体" w:hAnsi="黑体" w:cs="宋体"/>
          <w:b w:val="0"/>
          <w:kern w:val="0"/>
          <w:sz w:val="28"/>
          <w:szCs w:val="28"/>
        </w:rPr>
      </w:pPr>
      <w:r>
        <w:rPr>
          <w:rStyle w:val="a7"/>
          <w:rFonts w:ascii="黑体" w:eastAsia="黑体" w:hAnsi="黑体" w:cs="宋体" w:hint="eastAsia"/>
          <w:b w:val="0"/>
          <w:kern w:val="0"/>
          <w:sz w:val="28"/>
          <w:szCs w:val="28"/>
        </w:rPr>
        <w:t>新疆银行“金胡杨”净值型人民币理财产品协议书</w:t>
      </w:r>
    </w:p>
    <w:p w:rsidR="000533F1" w:rsidRDefault="000D0F1B">
      <w:pPr>
        <w:widowControl/>
        <w:spacing w:line="400" w:lineRule="exact"/>
        <w:jc w:val="center"/>
        <w:rPr>
          <w:rStyle w:val="a7"/>
          <w:rFonts w:ascii="宋体" w:hAnsi="宋体" w:cs="宋体"/>
          <w:kern w:val="0"/>
          <w:sz w:val="18"/>
          <w:szCs w:val="18"/>
        </w:rPr>
      </w:pPr>
      <w:r>
        <w:rPr>
          <w:rStyle w:val="a7"/>
          <w:rFonts w:ascii="宋体" w:hAnsi="宋体" w:cs="宋体" w:hint="eastAsia"/>
          <w:kern w:val="0"/>
          <w:sz w:val="18"/>
          <w:szCs w:val="18"/>
        </w:rPr>
        <w:t>理财非存款、产品有风险、投资须谨慎</w:t>
      </w:r>
    </w:p>
    <w:p w:rsidR="000533F1" w:rsidRDefault="000D0F1B" w:rsidP="007725D5">
      <w:pPr>
        <w:widowControl/>
        <w:adjustRightInd w:val="0"/>
        <w:snapToGrid w:val="0"/>
        <w:spacing w:beforeLines="50" w:line="360" w:lineRule="auto"/>
        <w:ind w:firstLine="570"/>
        <w:jc w:val="left"/>
        <w:rPr>
          <w:rStyle w:val="a7"/>
          <w:rFonts w:asciiTheme="minorEastAsia" w:eastAsiaTheme="minorEastAsia" w:hAnsiTheme="minorEastAsia" w:cs="宋体"/>
          <w:b w:val="0"/>
          <w:kern w:val="0"/>
          <w:szCs w:val="21"/>
        </w:rPr>
      </w:pPr>
      <w:r>
        <w:rPr>
          <w:rStyle w:val="a7"/>
          <w:rFonts w:asciiTheme="minorEastAsia" w:eastAsiaTheme="minorEastAsia" w:hAnsiTheme="minorEastAsia" w:cs="宋体" w:hint="eastAsia"/>
          <w:b w:val="0"/>
          <w:kern w:val="0"/>
          <w:szCs w:val="21"/>
        </w:rPr>
        <w:t>甲方（投资者）自愿购买乙方（银行）发行的理财产品，经双方协商一致，签订本协议。本协议为规范甲乙双方在理财业务中权利和义务的法律文件。</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5"/>
        <w:gridCol w:w="875"/>
        <w:gridCol w:w="371"/>
        <w:gridCol w:w="1245"/>
        <w:gridCol w:w="200"/>
        <w:gridCol w:w="854"/>
        <w:gridCol w:w="219"/>
        <w:gridCol w:w="486"/>
        <w:gridCol w:w="713"/>
        <w:gridCol w:w="46"/>
        <w:gridCol w:w="1367"/>
        <w:gridCol w:w="18"/>
        <w:gridCol w:w="1106"/>
        <w:gridCol w:w="1217"/>
      </w:tblGrid>
      <w:tr w:rsidR="000533F1">
        <w:trPr>
          <w:trHeight w:val="270"/>
        </w:trPr>
        <w:tc>
          <w:tcPr>
            <w:tcW w:w="9962" w:type="dxa"/>
            <w:gridSpan w:val="14"/>
            <w:tcBorders>
              <w:bottom w:val="single" w:sz="4" w:space="0" w:color="000000"/>
            </w:tcBorders>
            <w:shd w:val="clear" w:color="auto" w:fill="3399FF"/>
          </w:tcPr>
          <w:p w:rsidR="000533F1" w:rsidRDefault="000D0F1B">
            <w:pPr>
              <w:widowControl/>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一、基本信息</w:t>
            </w:r>
          </w:p>
        </w:tc>
      </w:tr>
      <w:tr w:rsidR="000533F1">
        <w:trPr>
          <w:trHeight w:val="270"/>
        </w:trPr>
        <w:tc>
          <w:tcPr>
            <w:tcW w:w="9962" w:type="dxa"/>
            <w:gridSpan w:val="14"/>
            <w:tcBorders>
              <w:bottom w:val="single" w:sz="4" w:space="0" w:color="000000"/>
            </w:tcBorders>
            <w:shd w:val="clear" w:color="auto" w:fill="3399FF"/>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甲方基本信息（投资者基本信息）</w:t>
            </w:r>
          </w:p>
        </w:tc>
      </w:tr>
      <w:tr w:rsidR="00053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9962" w:type="dxa"/>
            <w:gridSpan w:val="14"/>
            <w:tcBorders>
              <w:top w:val="single" w:sz="4" w:space="0" w:color="000000"/>
              <w:left w:val="single" w:sz="4" w:space="0" w:color="000000"/>
              <w:right w:val="single" w:sz="4" w:space="0" w:color="000000"/>
            </w:tcBorders>
            <w:shd w:val="clear" w:color="auto" w:fill="3399FF"/>
          </w:tcPr>
          <w:p w:rsidR="000533F1" w:rsidRDefault="000D0F1B">
            <w:pPr>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个人投资者填写</w:t>
            </w:r>
          </w:p>
        </w:tc>
      </w:tr>
      <w:tr w:rsidR="00053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1245" w:type="dxa"/>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姓名</w:t>
            </w:r>
          </w:p>
        </w:tc>
        <w:tc>
          <w:tcPr>
            <w:tcW w:w="1246" w:type="dxa"/>
            <w:gridSpan w:val="2"/>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1245" w:type="dxa"/>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性别</w:t>
            </w:r>
          </w:p>
        </w:tc>
        <w:tc>
          <w:tcPr>
            <w:tcW w:w="1273" w:type="dxa"/>
            <w:gridSpan w:val="3"/>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1245" w:type="dxa"/>
            <w:gridSpan w:val="3"/>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国籍</w:t>
            </w:r>
          </w:p>
        </w:tc>
        <w:tc>
          <w:tcPr>
            <w:tcW w:w="1385" w:type="dxa"/>
            <w:gridSpan w:val="2"/>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1106" w:type="dxa"/>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职业</w:t>
            </w:r>
          </w:p>
        </w:tc>
        <w:tc>
          <w:tcPr>
            <w:tcW w:w="1217" w:type="dxa"/>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r>
      <w:tr w:rsidR="00053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1245" w:type="dxa"/>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证件种类</w:t>
            </w:r>
          </w:p>
        </w:tc>
        <w:tc>
          <w:tcPr>
            <w:tcW w:w="1246" w:type="dxa"/>
            <w:gridSpan w:val="2"/>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1245" w:type="dxa"/>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证件号码</w:t>
            </w:r>
          </w:p>
        </w:tc>
        <w:tc>
          <w:tcPr>
            <w:tcW w:w="2518" w:type="dxa"/>
            <w:gridSpan w:val="6"/>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1385" w:type="dxa"/>
            <w:gridSpan w:val="2"/>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证件有效期</w:t>
            </w:r>
          </w:p>
        </w:tc>
        <w:tc>
          <w:tcPr>
            <w:tcW w:w="2323" w:type="dxa"/>
            <w:gridSpan w:val="2"/>
            <w:tcBorders>
              <w:top w:val="single" w:sz="4" w:space="0" w:color="000000"/>
              <w:left w:val="single" w:sz="4" w:space="0" w:color="000000"/>
              <w:right w:val="single" w:sz="4" w:space="0" w:color="000000"/>
            </w:tcBorders>
            <w:shd w:val="clear" w:color="auto" w:fill="FFFFFF" w:themeFill="background1"/>
          </w:tcPr>
          <w:p w:rsidR="000533F1" w:rsidRDefault="000533F1">
            <w:pPr>
              <w:jc w:val="left"/>
              <w:rPr>
                <w:rFonts w:asciiTheme="minorEastAsia" w:eastAsiaTheme="minorEastAsia" w:hAnsiTheme="minorEastAsia" w:cs="宋体"/>
                <w:color w:val="000000"/>
                <w:kern w:val="0"/>
                <w:sz w:val="22"/>
              </w:rPr>
            </w:pPr>
          </w:p>
        </w:tc>
      </w:tr>
      <w:tr w:rsidR="00053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1245" w:type="dxa"/>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家庭地址</w:t>
            </w:r>
          </w:p>
        </w:tc>
        <w:tc>
          <w:tcPr>
            <w:tcW w:w="5009" w:type="dxa"/>
            <w:gridSpan w:val="9"/>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1385" w:type="dxa"/>
            <w:gridSpan w:val="2"/>
            <w:tcBorders>
              <w:top w:val="single" w:sz="4" w:space="0" w:color="000000"/>
              <w:left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联系电话</w:t>
            </w:r>
          </w:p>
        </w:tc>
        <w:tc>
          <w:tcPr>
            <w:tcW w:w="2323" w:type="dxa"/>
            <w:gridSpan w:val="2"/>
            <w:tcBorders>
              <w:top w:val="single" w:sz="4" w:space="0" w:color="000000"/>
              <w:left w:val="single" w:sz="4" w:space="0" w:color="000000"/>
              <w:right w:val="single" w:sz="4" w:space="0" w:color="000000"/>
            </w:tcBorders>
            <w:shd w:val="clear" w:color="auto" w:fill="FFFFFF" w:themeFill="background1"/>
          </w:tcPr>
          <w:p w:rsidR="000533F1" w:rsidRDefault="000533F1">
            <w:pPr>
              <w:jc w:val="left"/>
              <w:rPr>
                <w:rFonts w:asciiTheme="minorEastAsia" w:eastAsiaTheme="minorEastAsia" w:hAnsiTheme="minorEastAsia" w:cs="宋体"/>
                <w:color w:val="000000"/>
                <w:kern w:val="0"/>
                <w:sz w:val="22"/>
              </w:rPr>
            </w:pPr>
          </w:p>
        </w:tc>
      </w:tr>
      <w:tr w:rsidR="00053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12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单位地址</w:t>
            </w:r>
          </w:p>
        </w:tc>
        <w:tc>
          <w:tcPr>
            <w:tcW w:w="500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533F1">
            <w:pPr>
              <w:jc w:val="left"/>
              <w:rPr>
                <w:rFonts w:asciiTheme="minorEastAsia" w:eastAsiaTheme="minorEastAsia" w:hAnsiTheme="minorEastAsia" w:cs="宋体"/>
                <w:color w:val="000000"/>
                <w:kern w:val="0"/>
                <w:sz w:val="22"/>
              </w:rPr>
            </w:pPr>
          </w:p>
        </w:tc>
        <w:tc>
          <w:tcPr>
            <w:tcW w:w="13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手机号码</w:t>
            </w:r>
          </w:p>
        </w:tc>
        <w:tc>
          <w:tcPr>
            <w:tcW w:w="232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533F1">
            <w:pPr>
              <w:jc w:val="left"/>
              <w:rPr>
                <w:rFonts w:asciiTheme="minorEastAsia" w:eastAsiaTheme="minorEastAsia" w:hAnsiTheme="minorEastAsia" w:cs="宋体"/>
                <w:color w:val="000000"/>
                <w:kern w:val="0"/>
                <w:sz w:val="22"/>
              </w:rPr>
            </w:pPr>
          </w:p>
        </w:tc>
      </w:tr>
      <w:tr w:rsidR="00053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9962" w:type="dxa"/>
            <w:gridSpan w:val="14"/>
            <w:tcBorders>
              <w:top w:val="single" w:sz="4" w:space="0" w:color="000000"/>
              <w:left w:val="single" w:sz="4" w:space="0" w:color="000000"/>
              <w:bottom w:val="single" w:sz="4" w:space="0" w:color="000000"/>
              <w:right w:val="single" w:sz="4" w:space="0" w:color="000000"/>
            </w:tcBorders>
            <w:shd w:val="clear" w:color="auto" w:fill="3399FF"/>
          </w:tcPr>
          <w:p w:rsidR="000533F1" w:rsidRDefault="000D0F1B">
            <w:pPr>
              <w:widowControl/>
              <w:jc w:val="center"/>
              <w:rPr>
                <w:rFonts w:asciiTheme="minorEastAsia" w:eastAsiaTheme="minorEastAsia" w:hAnsiTheme="minorEastAsia" w:cs="宋体"/>
                <w:b/>
                <w:color w:val="000000"/>
                <w:kern w:val="0"/>
                <w:sz w:val="22"/>
                <w:highlight w:val="cyan"/>
              </w:rPr>
            </w:pPr>
            <w:r>
              <w:rPr>
                <w:rFonts w:asciiTheme="minorEastAsia" w:eastAsiaTheme="minorEastAsia" w:hAnsiTheme="minorEastAsia" w:cs="宋体" w:hint="eastAsia"/>
                <w:b/>
                <w:color w:val="000000"/>
                <w:kern w:val="0"/>
                <w:sz w:val="22"/>
              </w:rPr>
              <w:t>单位投资者填写</w:t>
            </w:r>
          </w:p>
        </w:tc>
      </w:tr>
      <w:tr w:rsidR="00053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单位名称</w:t>
            </w:r>
          </w:p>
        </w:tc>
        <w:tc>
          <w:tcPr>
            <w:tcW w:w="288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261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证件种类</w:t>
            </w:r>
          </w:p>
        </w:tc>
        <w:tc>
          <w:tcPr>
            <w:tcW w:w="23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r>
      <w:tr w:rsidR="00053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注册地址</w:t>
            </w:r>
          </w:p>
        </w:tc>
        <w:tc>
          <w:tcPr>
            <w:tcW w:w="288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261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证件号码</w:t>
            </w:r>
          </w:p>
        </w:tc>
        <w:tc>
          <w:tcPr>
            <w:tcW w:w="23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r>
      <w:tr w:rsidR="00053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通讯地址</w:t>
            </w:r>
          </w:p>
        </w:tc>
        <w:tc>
          <w:tcPr>
            <w:tcW w:w="288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261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证件有效期</w:t>
            </w:r>
          </w:p>
        </w:tc>
        <w:tc>
          <w:tcPr>
            <w:tcW w:w="23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r>
      <w:tr w:rsidR="00053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经办人姓名</w:t>
            </w:r>
          </w:p>
        </w:tc>
        <w:tc>
          <w:tcPr>
            <w:tcW w:w="288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261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法定代表人姓名</w:t>
            </w:r>
          </w:p>
        </w:tc>
        <w:tc>
          <w:tcPr>
            <w:tcW w:w="23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r>
      <w:tr w:rsidR="00053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经办人证件种类</w:t>
            </w:r>
          </w:p>
        </w:tc>
        <w:tc>
          <w:tcPr>
            <w:tcW w:w="288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261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法定代表人证件种类</w:t>
            </w:r>
          </w:p>
        </w:tc>
        <w:tc>
          <w:tcPr>
            <w:tcW w:w="23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r>
      <w:tr w:rsidR="00053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经办人证件号码</w:t>
            </w:r>
          </w:p>
        </w:tc>
        <w:tc>
          <w:tcPr>
            <w:tcW w:w="288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261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法定代表人证件号码</w:t>
            </w:r>
          </w:p>
        </w:tc>
        <w:tc>
          <w:tcPr>
            <w:tcW w:w="23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r>
      <w:tr w:rsidR="00053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经办人证件有效期</w:t>
            </w:r>
          </w:p>
        </w:tc>
        <w:tc>
          <w:tcPr>
            <w:tcW w:w="288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261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法定代表人证件有效期</w:t>
            </w:r>
          </w:p>
        </w:tc>
        <w:tc>
          <w:tcPr>
            <w:tcW w:w="23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r>
      <w:tr w:rsidR="00053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联系电话</w:t>
            </w:r>
          </w:p>
        </w:tc>
        <w:tc>
          <w:tcPr>
            <w:tcW w:w="288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261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联系电话</w:t>
            </w:r>
          </w:p>
        </w:tc>
        <w:tc>
          <w:tcPr>
            <w:tcW w:w="23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r>
      <w:tr w:rsidR="000533F1">
        <w:trPr>
          <w:trHeight w:val="270"/>
        </w:trPr>
        <w:tc>
          <w:tcPr>
            <w:tcW w:w="9962" w:type="dxa"/>
            <w:gridSpan w:val="14"/>
            <w:shd w:val="clear" w:color="auto" w:fill="3399FF"/>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乙方基本信息（银行基本信息）</w:t>
            </w:r>
          </w:p>
        </w:tc>
      </w:tr>
      <w:tr w:rsidR="000533F1">
        <w:trPr>
          <w:trHeight w:val="270"/>
        </w:trPr>
        <w:tc>
          <w:tcPr>
            <w:tcW w:w="1245" w:type="dxa"/>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乙    方</w:t>
            </w:r>
          </w:p>
        </w:tc>
        <w:tc>
          <w:tcPr>
            <w:tcW w:w="8717" w:type="dxa"/>
            <w:gridSpan w:val="13"/>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新疆银行股份有限公司</w:t>
            </w:r>
            <w:r w:rsidRPr="001B2259">
              <w:rPr>
                <w:rFonts w:asciiTheme="minorEastAsia" w:eastAsiaTheme="minorEastAsia" w:hAnsiTheme="minorEastAsia" w:cs="宋体" w:hint="eastAsia"/>
                <w:color w:val="000000"/>
                <w:kern w:val="0"/>
                <w:sz w:val="22"/>
                <w:u w:val="single"/>
              </w:rPr>
              <w:t xml:space="preserve">           </w:t>
            </w:r>
            <w:r w:rsidR="001B2259">
              <w:rPr>
                <w:rFonts w:asciiTheme="minorEastAsia" w:eastAsiaTheme="minorEastAsia" w:hAnsiTheme="minorEastAsia" w:cs="宋体" w:hint="eastAsia"/>
                <w:color w:val="000000"/>
                <w:kern w:val="0"/>
                <w:sz w:val="22"/>
                <w:u w:val="single"/>
              </w:rPr>
              <w:t xml:space="preserve">  </w:t>
            </w:r>
          </w:p>
        </w:tc>
      </w:tr>
      <w:tr w:rsidR="000533F1">
        <w:trPr>
          <w:trHeight w:val="270"/>
        </w:trPr>
        <w:tc>
          <w:tcPr>
            <w:tcW w:w="1245" w:type="dxa"/>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联系地址</w:t>
            </w:r>
          </w:p>
        </w:tc>
        <w:tc>
          <w:tcPr>
            <w:tcW w:w="3545" w:type="dxa"/>
            <w:gridSpan w:val="5"/>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1418" w:type="dxa"/>
            <w:gridSpan w:val="3"/>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邮政编码</w:t>
            </w:r>
          </w:p>
        </w:tc>
        <w:tc>
          <w:tcPr>
            <w:tcW w:w="3754" w:type="dxa"/>
            <w:gridSpan w:val="5"/>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r>
      <w:tr w:rsidR="000533F1">
        <w:trPr>
          <w:trHeight w:val="270"/>
        </w:trPr>
        <w:tc>
          <w:tcPr>
            <w:tcW w:w="1245" w:type="dxa"/>
            <w:tcBorders>
              <w:bottom w:val="single" w:sz="4" w:space="0" w:color="000000"/>
            </w:tcBorders>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联系电话</w:t>
            </w:r>
          </w:p>
        </w:tc>
        <w:tc>
          <w:tcPr>
            <w:tcW w:w="3545" w:type="dxa"/>
            <w:gridSpan w:val="5"/>
            <w:tcBorders>
              <w:bottom w:val="single" w:sz="4" w:space="0" w:color="000000"/>
            </w:tcBorders>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1418" w:type="dxa"/>
            <w:gridSpan w:val="3"/>
            <w:tcBorders>
              <w:bottom w:val="single" w:sz="4" w:space="0" w:color="000000"/>
            </w:tcBorders>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3754" w:type="dxa"/>
            <w:gridSpan w:val="5"/>
            <w:tcBorders>
              <w:bottom w:val="single" w:sz="4" w:space="0" w:color="000000"/>
            </w:tcBorders>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r>
      <w:tr w:rsidR="000533F1">
        <w:trPr>
          <w:trHeight w:val="270"/>
        </w:trPr>
        <w:tc>
          <w:tcPr>
            <w:tcW w:w="9962" w:type="dxa"/>
            <w:gridSpan w:val="14"/>
            <w:shd w:val="clear" w:color="auto" w:fill="3399FF"/>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业务基本信息</w:t>
            </w:r>
          </w:p>
        </w:tc>
      </w:tr>
      <w:tr w:rsidR="000533F1">
        <w:trPr>
          <w:trHeight w:val="270"/>
        </w:trPr>
        <w:tc>
          <w:tcPr>
            <w:tcW w:w="1245" w:type="dxa"/>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业    </w:t>
            </w:r>
            <w:proofErr w:type="gramStart"/>
            <w:r>
              <w:rPr>
                <w:rFonts w:asciiTheme="minorEastAsia" w:eastAsiaTheme="minorEastAsia" w:hAnsiTheme="minorEastAsia" w:cs="宋体" w:hint="eastAsia"/>
                <w:color w:val="000000"/>
                <w:kern w:val="0"/>
                <w:sz w:val="22"/>
              </w:rPr>
              <w:t>务</w:t>
            </w:r>
            <w:proofErr w:type="gramEnd"/>
          </w:p>
        </w:tc>
        <w:tc>
          <w:tcPr>
            <w:tcW w:w="8717" w:type="dxa"/>
            <w:gridSpan w:val="13"/>
          </w:tcPr>
          <w:p w:rsidR="000533F1" w:rsidRDefault="000D0F1B">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□购买        □赎回        □撤单</w:t>
            </w:r>
          </w:p>
        </w:tc>
      </w:tr>
      <w:tr w:rsidR="000533F1" w:rsidTr="0019089E">
        <w:trPr>
          <w:trHeight w:val="270"/>
        </w:trPr>
        <w:tc>
          <w:tcPr>
            <w:tcW w:w="1245" w:type="dxa"/>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产品名称</w:t>
            </w:r>
          </w:p>
        </w:tc>
        <w:tc>
          <w:tcPr>
            <w:tcW w:w="2691" w:type="dxa"/>
            <w:gridSpan w:val="4"/>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1559" w:type="dxa"/>
            <w:gridSpan w:val="3"/>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产品代码</w:t>
            </w:r>
          </w:p>
        </w:tc>
        <w:tc>
          <w:tcPr>
            <w:tcW w:w="4467" w:type="dxa"/>
            <w:gridSpan w:val="6"/>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r>
      <w:tr w:rsidR="000533F1" w:rsidTr="0019089E">
        <w:trPr>
          <w:trHeight w:val="270"/>
        </w:trPr>
        <w:tc>
          <w:tcPr>
            <w:tcW w:w="1245" w:type="dxa"/>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交易币种</w:t>
            </w:r>
          </w:p>
        </w:tc>
        <w:tc>
          <w:tcPr>
            <w:tcW w:w="2691" w:type="dxa"/>
            <w:gridSpan w:val="4"/>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p>
        </w:tc>
        <w:tc>
          <w:tcPr>
            <w:tcW w:w="1559" w:type="dxa"/>
            <w:gridSpan w:val="3"/>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交易金额</w:t>
            </w:r>
          </w:p>
        </w:tc>
        <w:tc>
          <w:tcPr>
            <w:tcW w:w="4467" w:type="dxa"/>
            <w:gridSpan w:val="6"/>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r w:rsidR="0019089E">
              <w:rPr>
                <w:rFonts w:asciiTheme="minorEastAsia" w:eastAsiaTheme="minorEastAsia" w:hAnsiTheme="minorEastAsia" w:cs="宋体" w:hint="eastAsia"/>
                <w:color w:val="000000"/>
                <w:kern w:val="0"/>
                <w:sz w:val="22"/>
              </w:rPr>
              <w:t xml:space="preserve">       </w:t>
            </w:r>
            <w:r>
              <w:rPr>
                <w:rFonts w:asciiTheme="minorEastAsia" w:eastAsiaTheme="minorEastAsia" w:hAnsiTheme="minorEastAsia" w:cs="宋体" w:hint="eastAsia"/>
                <w:color w:val="000000"/>
                <w:kern w:val="0"/>
                <w:sz w:val="22"/>
              </w:rPr>
              <w:t xml:space="preserve">大写：                  </w:t>
            </w:r>
          </w:p>
        </w:tc>
      </w:tr>
      <w:tr w:rsidR="000533F1" w:rsidTr="0019089E">
        <w:tc>
          <w:tcPr>
            <w:tcW w:w="1245" w:type="dxa"/>
            <w:tcBorders>
              <w:bottom w:val="single" w:sz="4" w:space="0" w:color="000000"/>
            </w:tcBorders>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卡/账号</w:t>
            </w:r>
          </w:p>
        </w:tc>
        <w:tc>
          <w:tcPr>
            <w:tcW w:w="2691" w:type="dxa"/>
            <w:gridSpan w:val="4"/>
            <w:tcBorders>
              <w:bottom w:val="single" w:sz="4" w:space="0" w:color="000000"/>
            </w:tcBorders>
          </w:tcPr>
          <w:p w:rsidR="000533F1" w:rsidRDefault="000533F1">
            <w:pPr>
              <w:widowControl/>
              <w:jc w:val="left"/>
              <w:rPr>
                <w:rFonts w:asciiTheme="minorEastAsia" w:eastAsiaTheme="minorEastAsia" w:hAnsiTheme="minorEastAsia" w:cs="宋体"/>
                <w:color w:val="000000"/>
                <w:kern w:val="0"/>
                <w:sz w:val="22"/>
              </w:rPr>
            </w:pPr>
          </w:p>
        </w:tc>
        <w:tc>
          <w:tcPr>
            <w:tcW w:w="1559" w:type="dxa"/>
            <w:gridSpan w:val="3"/>
            <w:tcBorders>
              <w:bottom w:val="single" w:sz="4" w:space="0" w:color="000000"/>
            </w:tcBorders>
          </w:tcPr>
          <w:p w:rsidR="000533F1" w:rsidRDefault="000D0F1B">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交易份额</w:t>
            </w:r>
          </w:p>
        </w:tc>
        <w:tc>
          <w:tcPr>
            <w:tcW w:w="4467" w:type="dxa"/>
            <w:gridSpan w:val="6"/>
            <w:tcBorders>
              <w:bottom w:val="single" w:sz="4" w:space="0" w:color="000000"/>
            </w:tcBorders>
          </w:tcPr>
          <w:p w:rsidR="000533F1" w:rsidRDefault="0019089E" w:rsidP="0019089E">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 xml:space="preserve">         </w:t>
            </w:r>
            <w:r w:rsidR="000D0F1B">
              <w:rPr>
                <w:rFonts w:asciiTheme="minorEastAsia" w:eastAsiaTheme="minorEastAsia" w:hAnsiTheme="minorEastAsia" w:cs="宋体" w:hint="eastAsia"/>
                <w:color w:val="000000"/>
                <w:kern w:val="0"/>
                <w:sz w:val="22"/>
              </w:rPr>
              <w:t>大写：</w:t>
            </w:r>
          </w:p>
        </w:tc>
      </w:tr>
      <w:tr w:rsidR="000533F1">
        <w:tc>
          <w:tcPr>
            <w:tcW w:w="9962" w:type="dxa"/>
            <w:gridSpan w:val="14"/>
            <w:tcBorders>
              <w:bottom w:val="single" w:sz="4" w:space="0" w:color="000000"/>
            </w:tcBorders>
          </w:tcPr>
          <w:p w:rsidR="000533F1" w:rsidRDefault="000D0F1B">
            <w:pPr>
              <w:widowControl/>
              <w:tabs>
                <w:tab w:val="left" w:pos="8070"/>
                <w:tab w:val="right" w:pos="8306"/>
              </w:tabs>
              <w:adjustRightInd w:val="0"/>
              <w:snapToGrid w:val="0"/>
              <w:spacing w:line="360" w:lineRule="auto"/>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 xml:space="preserve">    新疆银</w:t>
            </w:r>
            <w:r w:rsidR="00D51B63" w:rsidRPr="00D51B63">
              <w:rPr>
                <w:rFonts w:asciiTheme="minorEastAsia" w:eastAsiaTheme="minorEastAsia" w:hAnsiTheme="minorEastAsia" w:hint="eastAsia"/>
                <w:szCs w:val="21"/>
              </w:rPr>
              <w:t>“金胡杨”净值型</w:t>
            </w:r>
            <w:r>
              <w:rPr>
                <w:rFonts w:asciiTheme="minorEastAsia" w:eastAsiaTheme="minorEastAsia" w:hAnsiTheme="minorEastAsia" w:cs="宋体" w:hint="eastAsia"/>
                <w:bCs/>
                <w:kern w:val="0"/>
                <w:szCs w:val="21"/>
              </w:rPr>
              <w:t>人民币理财产品理财合同由《风险揭示书》、《产品说明书》、《客户权益须知》、本协议书及客户签署的相关业务凭证共同组成。</w:t>
            </w:r>
          </w:p>
          <w:p w:rsidR="000533F1" w:rsidRDefault="000D0F1B">
            <w:pPr>
              <w:widowControl/>
              <w:tabs>
                <w:tab w:val="left" w:pos="8070"/>
                <w:tab w:val="right" w:pos="8306"/>
              </w:tabs>
              <w:adjustRightInd w:val="0"/>
              <w:snapToGrid w:val="0"/>
              <w:spacing w:line="360" w:lineRule="auto"/>
              <w:ind w:firstLineChars="200" w:firstLine="420"/>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理财产品的具体风险和要素详见《风险揭示书》、《产品说明书》和《客户权益须知》等相关文件，上述文件为本协议不可分割的组成部分。</w:t>
            </w:r>
          </w:p>
        </w:tc>
      </w:tr>
      <w:tr w:rsidR="000533F1">
        <w:tc>
          <w:tcPr>
            <w:tcW w:w="9962" w:type="dxa"/>
            <w:gridSpan w:val="14"/>
            <w:shd w:val="clear" w:color="auto" w:fill="3399FF"/>
            <w:vAlign w:val="center"/>
          </w:tcPr>
          <w:p w:rsidR="000533F1" w:rsidRDefault="000D0F1B">
            <w:pPr>
              <w:widowControl/>
              <w:tabs>
                <w:tab w:val="left" w:pos="8070"/>
                <w:tab w:val="right" w:pos="8306"/>
              </w:tabs>
              <w:adjustRightInd w:val="0"/>
              <w:snapToGrid w:val="0"/>
              <w:spacing w:line="360" w:lineRule="auto"/>
              <w:jc w:val="center"/>
              <w:rPr>
                <w:rFonts w:asciiTheme="minorEastAsia" w:eastAsiaTheme="minorEastAsia" w:hAnsiTheme="minorEastAsia" w:cs="宋体"/>
                <w:b/>
                <w:bCs/>
                <w:kern w:val="0"/>
                <w:szCs w:val="21"/>
              </w:rPr>
            </w:pPr>
            <w:r>
              <w:rPr>
                <w:rStyle w:val="a7"/>
                <w:rFonts w:asciiTheme="minorEastAsia" w:eastAsiaTheme="minorEastAsia" w:hAnsiTheme="minorEastAsia" w:cs="宋体" w:hint="eastAsia"/>
                <w:kern w:val="0"/>
                <w:szCs w:val="21"/>
              </w:rPr>
              <w:t>二、甲方申明与保证</w:t>
            </w:r>
          </w:p>
        </w:tc>
      </w:tr>
      <w:tr w:rsidR="000533F1">
        <w:tc>
          <w:tcPr>
            <w:tcW w:w="9962" w:type="dxa"/>
            <w:gridSpan w:val="14"/>
            <w:tcBorders>
              <w:bottom w:val="single" w:sz="4" w:space="0" w:color="000000"/>
            </w:tcBorders>
          </w:tcPr>
          <w:p w:rsidR="000533F1" w:rsidRDefault="000D0F1B">
            <w:pPr>
              <w:widowControl/>
              <w:tabs>
                <w:tab w:val="left" w:pos="0"/>
              </w:tabs>
              <w:adjustRightInd w:val="0"/>
              <w:snapToGrid w:val="0"/>
              <w:spacing w:line="360" w:lineRule="auto"/>
              <w:ind w:firstLine="360"/>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（一）个人投资者申明与保证：</w:t>
            </w:r>
          </w:p>
          <w:p w:rsidR="000533F1" w:rsidRDefault="000D0F1B">
            <w:pPr>
              <w:widowControl/>
              <w:tabs>
                <w:tab w:val="left" w:pos="0"/>
              </w:tabs>
              <w:adjustRightInd w:val="0"/>
              <w:snapToGrid w:val="0"/>
              <w:spacing w:line="360" w:lineRule="auto"/>
              <w:ind w:firstLine="360"/>
              <w:jc w:val="left"/>
              <w:rPr>
                <w:rFonts w:asciiTheme="minorEastAsia" w:eastAsiaTheme="minorEastAsia" w:hAnsiTheme="minorEastAsia" w:cs="宋体"/>
                <w:bCs/>
                <w:kern w:val="0"/>
                <w:szCs w:val="21"/>
              </w:rPr>
            </w:pPr>
            <w:r>
              <w:rPr>
                <w:rFonts w:asciiTheme="minorEastAsia" w:eastAsiaTheme="minorEastAsia" w:hAnsiTheme="minorEastAsia" w:cs="宋体"/>
                <w:bCs/>
                <w:kern w:val="0"/>
                <w:szCs w:val="21"/>
              </w:rPr>
              <w:t>1.</w:t>
            </w:r>
            <w:r>
              <w:rPr>
                <w:rFonts w:asciiTheme="minorEastAsia" w:eastAsiaTheme="minorEastAsia" w:hAnsiTheme="minorEastAsia" w:cs="宋体" w:hint="eastAsia"/>
                <w:bCs/>
                <w:kern w:val="0"/>
                <w:szCs w:val="21"/>
              </w:rPr>
              <w:t>甲方具有完全民事行为能力，以本人合法所有的资金购买理财产品；</w:t>
            </w:r>
          </w:p>
          <w:p w:rsidR="000533F1" w:rsidRDefault="000D0F1B">
            <w:pPr>
              <w:widowControl/>
              <w:tabs>
                <w:tab w:val="left" w:pos="0"/>
              </w:tabs>
              <w:adjustRightInd w:val="0"/>
              <w:snapToGrid w:val="0"/>
              <w:spacing w:line="360" w:lineRule="auto"/>
              <w:ind w:firstLine="360"/>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2.甲方为港、澳、台人士或外籍人士的，其购买理财产品的资质及资金符合相关法律法规及监管的要求；</w:t>
            </w:r>
          </w:p>
          <w:p w:rsidR="000533F1" w:rsidRDefault="000D0F1B">
            <w:pPr>
              <w:widowControl/>
              <w:tabs>
                <w:tab w:val="left" w:pos="0"/>
              </w:tabs>
              <w:adjustRightInd w:val="0"/>
              <w:snapToGrid w:val="0"/>
              <w:spacing w:line="360" w:lineRule="auto"/>
              <w:ind w:firstLine="360"/>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lastRenderedPageBreak/>
              <w:t>3.甲方已如实向乙方披露其风险承受能力状况及相关信息，并签署、确认《风险评估问卷》、《风险揭示书》；如发生可能影响其风险承受能力的情况，甲方应及时进行风险承受能力再评估；</w:t>
            </w:r>
          </w:p>
          <w:p w:rsidR="000533F1" w:rsidRDefault="000D0F1B">
            <w:pPr>
              <w:widowControl/>
              <w:tabs>
                <w:tab w:val="left" w:pos="0"/>
              </w:tabs>
              <w:adjustRightInd w:val="0"/>
              <w:snapToGrid w:val="0"/>
              <w:spacing w:line="360" w:lineRule="auto"/>
              <w:ind w:firstLine="360"/>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4.甲方清楚知晓、接受并承诺遵守理财产品合同，对其条款内容不存在任何疑问或异议，清楚了解所购买理财产品的收益类型、适用客户类别、主要风险、投资方向、流动性等内容，完全知晓理财产品可能出现的各种风险，愿意并能够承担这些风险；</w:t>
            </w:r>
          </w:p>
          <w:p w:rsidR="000533F1" w:rsidRDefault="000D0F1B">
            <w:pPr>
              <w:widowControl/>
              <w:tabs>
                <w:tab w:val="left" w:pos="0"/>
              </w:tabs>
              <w:adjustRightInd w:val="0"/>
              <w:snapToGrid w:val="0"/>
              <w:spacing w:line="360" w:lineRule="auto"/>
              <w:ind w:firstLine="360"/>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5.乙方向甲方提供的产品分析及预测仅供参考，甲方据此做出的任何决策出于甲方自己的判断，投资决策风险由甲方自行承担。</w:t>
            </w:r>
          </w:p>
          <w:p w:rsidR="000533F1" w:rsidRDefault="000D0F1B">
            <w:pPr>
              <w:widowControl/>
              <w:tabs>
                <w:tab w:val="left" w:pos="0"/>
              </w:tabs>
              <w:adjustRightInd w:val="0"/>
              <w:snapToGrid w:val="0"/>
              <w:spacing w:line="360" w:lineRule="auto"/>
              <w:ind w:firstLine="360"/>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（二）机构投资者申明与保证</w:t>
            </w:r>
          </w:p>
          <w:p w:rsidR="000533F1" w:rsidRDefault="000D0F1B">
            <w:pPr>
              <w:widowControl/>
              <w:tabs>
                <w:tab w:val="left" w:pos="0"/>
              </w:tabs>
              <w:adjustRightInd w:val="0"/>
              <w:snapToGrid w:val="0"/>
              <w:spacing w:line="360" w:lineRule="auto"/>
              <w:ind w:firstLine="360"/>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1.甲方为依法设立的企业法人、事业法人、社会团体或其他组织，依据相应法律法规有投资理财产品的资格；</w:t>
            </w:r>
          </w:p>
          <w:p w:rsidR="000533F1" w:rsidRDefault="000D0F1B">
            <w:pPr>
              <w:widowControl/>
              <w:tabs>
                <w:tab w:val="left" w:pos="0"/>
              </w:tabs>
              <w:adjustRightInd w:val="0"/>
              <w:snapToGrid w:val="0"/>
              <w:spacing w:line="360" w:lineRule="auto"/>
              <w:ind w:firstLine="360"/>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2.签署和履行本协议系甲方的真实意思表示，已经按照其章程或其他内部管理文件的要求取得合法、有效的授权，且不会违反对甲方有约束力的任何协议、合同和其他法律文件；甲方已经或将会取得签订和履行本协议所需的一切有关批准、许可、备案或登记；</w:t>
            </w:r>
          </w:p>
          <w:p w:rsidR="000533F1" w:rsidRDefault="000D0F1B">
            <w:pPr>
              <w:widowControl/>
              <w:tabs>
                <w:tab w:val="left" w:pos="0"/>
              </w:tabs>
              <w:adjustRightInd w:val="0"/>
              <w:snapToGrid w:val="0"/>
              <w:spacing w:line="360" w:lineRule="auto"/>
              <w:ind w:firstLine="360"/>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3.甲方用于购买理财产品的资金为其合法所有并具有完全的占有、使用、收益、处分权，该资金可合法投资于理财产品而不存在任何禁止或限制的情形；</w:t>
            </w:r>
          </w:p>
          <w:p w:rsidR="000533F1" w:rsidRDefault="000D0F1B">
            <w:pPr>
              <w:widowControl/>
              <w:tabs>
                <w:tab w:val="left" w:pos="0"/>
              </w:tabs>
              <w:adjustRightInd w:val="0"/>
              <w:snapToGrid w:val="0"/>
              <w:spacing w:line="360" w:lineRule="auto"/>
              <w:ind w:firstLine="360"/>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4.甲方已如实、完整地向乙方披露其风险承受能力及相关信息；</w:t>
            </w:r>
          </w:p>
          <w:p w:rsidR="000533F1" w:rsidRDefault="000D0F1B">
            <w:pPr>
              <w:widowControl/>
              <w:tabs>
                <w:tab w:val="left" w:pos="0"/>
              </w:tabs>
              <w:adjustRightInd w:val="0"/>
              <w:snapToGrid w:val="0"/>
              <w:spacing w:line="360" w:lineRule="auto"/>
              <w:ind w:firstLine="360"/>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5.甲方授权代理人已得到签署理财产品合同的充分有效授权。甲方的法定代表人或授权代理人具有完全的民事行为能力并已详细阅读本协议、《风险揭示书》、《产品说明书》、《权益须知》等理财合同文本，清楚知晓、接受并承诺遵守理财产品合同，对其条款内容不存在任何疑问或异议，清楚了解所购买理财产品的收益类型、适用客户类别、主要风险、投资方向、流动性等内容，完全知晓理财产品可能出现的各种风险，愿意并能够承担这些风险；</w:t>
            </w:r>
          </w:p>
          <w:p w:rsidR="000533F1" w:rsidRDefault="000D0F1B">
            <w:pPr>
              <w:widowControl/>
              <w:tabs>
                <w:tab w:val="left" w:pos="0"/>
              </w:tabs>
              <w:adjustRightInd w:val="0"/>
              <w:snapToGrid w:val="0"/>
              <w:spacing w:line="360" w:lineRule="auto"/>
              <w:ind w:firstLine="360"/>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6.乙方向甲方提供的产品分析及预测仅供参考，甲方据此做出的任何决策出于甲方自己的判断，投资决策风险由甲方自行承担。</w:t>
            </w:r>
          </w:p>
        </w:tc>
      </w:tr>
      <w:tr w:rsidR="000533F1">
        <w:tc>
          <w:tcPr>
            <w:tcW w:w="9962" w:type="dxa"/>
            <w:gridSpan w:val="14"/>
            <w:shd w:val="clear" w:color="auto" w:fill="3399FF"/>
          </w:tcPr>
          <w:p w:rsidR="000533F1" w:rsidRDefault="000D0F1B">
            <w:pPr>
              <w:widowControl/>
              <w:tabs>
                <w:tab w:val="left" w:pos="8070"/>
                <w:tab w:val="right" w:pos="8306"/>
              </w:tabs>
              <w:adjustRightInd w:val="0"/>
              <w:snapToGrid w:val="0"/>
              <w:spacing w:line="360" w:lineRule="auto"/>
              <w:jc w:val="center"/>
              <w:rPr>
                <w:rFonts w:asciiTheme="minorEastAsia" w:eastAsiaTheme="minorEastAsia" w:hAnsiTheme="minorEastAsia" w:cs="宋体"/>
                <w:b/>
                <w:bCs/>
                <w:kern w:val="0"/>
                <w:szCs w:val="21"/>
              </w:rPr>
            </w:pPr>
            <w:r>
              <w:rPr>
                <w:rStyle w:val="a7"/>
                <w:rFonts w:asciiTheme="minorEastAsia" w:eastAsiaTheme="minorEastAsia" w:hAnsiTheme="minorEastAsia" w:cs="宋体" w:hint="eastAsia"/>
                <w:kern w:val="0"/>
                <w:szCs w:val="21"/>
              </w:rPr>
              <w:lastRenderedPageBreak/>
              <w:t>三、风险提示</w:t>
            </w:r>
          </w:p>
        </w:tc>
      </w:tr>
      <w:tr w:rsidR="000533F1">
        <w:tc>
          <w:tcPr>
            <w:tcW w:w="9962" w:type="dxa"/>
            <w:gridSpan w:val="14"/>
            <w:tcBorders>
              <w:bottom w:val="single" w:sz="4" w:space="0" w:color="000000"/>
            </w:tcBorders>
          </w:tcPr>
          <w:p w:rsidR="000533F1" w:rsidRDefault="000D0F1B">
            <w:pPr>
              <w:widowControl/>
              <w:tabs>
                <w:tab w:val="left" w:pos="8070"/>
                <w:tab w:val="right" w:pos="8306"/>
              </w:tabs>
              <w:adjustRightInd w:val="0"/>
              <w:snapToGrid w:val="0"/>
              <w:spacing w:line="360" w:lineRule="auto"/>
              <w:ind w:firstLine="4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1.乙方销售的理财产品与存款存在明显区别，投资理财产品可能面临</w:t>
            </w:r>
            <w:r w:rsidR="003317D7">
              <w:rPr>
                <w:rFonts w:asciiTheme="minorEastAsia" w:eastAsiaTheme="minorEastAsia" w:hAnsiTheme="minorEastAsia" w:cs="宋体" w:hint="eastAsia"/>
                <w:kern w:val="0"/>
                <w:szCs w:val="21"/>
              </w:rPr>
              <w:t>政策风险、</w:t>
            </w:r>
            <w:r>
              <w:rPr>
                <w:rFonts w:asciiTheme="minorEastAsia" w:eastAsiaTheme="minorEastAsia" w:hAnsiTheme="minorEastAsia" w:cs="宋体" w:hint="eastAsia"/>
                <w:kern w:val="0"/>
                <w:szCs w:val="21"/>
              </w:rPr>
              <w:t>市场风险、</w:t>
            </w:r>
            <w:r w:rsidR="003317D7">
              <w:rPr>
                <w:rFonts w:asciiTheme="minorEastAsia" w:eastAsiaTheme="minorEastAsia" w:hAnsiTheme="minorEastAsia" w:cs="宋体" w:hint="eastAsia"/>
                <w:kern w:val="0"/>
                <w:szCs w:val="21"/>
              </w:rPr>
              <w:t>信用风险、</w:t>
            </w:r>
            <w:r>
              <w:rPr>
                <w:rFonts w:asciiTheme="minorEastAsia" w:eastAsiaTheme="minorEastAsia" w:hAnsiTheme="minorEastAsia" w:cs="宋体" w:hint="eastAsia"/>
                <w:kern w:val="0"/>
                <w:szCs w:val="21"/>
              </w:rPr>
              <w:t>流动性风险等，具体详见《风险揭示书》。甲方在购买理财产品前，应仔细阅读并充分理解该理财产品的详细条款及可能发生的风险。</w:t>
            </w:r>
          </w:p>
          <w:p w:rsidR="000533F1" w:rsidRDefault="000D0F1B">
            <w:pPr>
              <w:widowControl/>
              <w:tabs>
                <w:tab w:val="left" w:pos="8070"/>
                <w:tab w:val="right" w:pos="8306"/>
              </w:tabs>
              <w:adjustRightInd w:val="0"/>
              <w:snapToGrid w:val="0"/>
              <w:spacing w:line="360" w:lineRule="auto"/>
              <w:ind w:firstLine="4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2.非保本浮动收益净值型理财产品：不保证甲方理财资金本金和收益，甲方可能会蒙受不同程度的损失（包括不同程度本金损失），甲方应充分认识投资风险，谨慎投资。</w:t>
            </w:r>
          </w:p>
          <w:p w:rsidR="000533F1" w:rsidRDefault="000D0F1B">
            <w:pPr>
              <w:widowControl/>
              <w:tabs>
                <w:tab w:val="left" w:pos="8070"/>
                <w:tab w:val="right" w:pos="8306"/>
              </w:tabs>
              <w:adjustRightInd w:val="0"/>
              <w:snapToGrid w:val="0"/>
              <w:spacing w:line="360" w:lineRule="auto"/>
              <w:ind w:firstLine="4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3.理财产品业绩表现将随市场波动，具有不确定性，业绩比较基准仅供甲方参考，不构成新疆银行对产品实际投资收益率的承诺或担保，客户的实际收益由产品净值决定。</w:t>
            </w:r>
          </w:p>
        </w:tc>
      </w:tr>
      <w:tr w:rsidR="000533F1">
        <w:tc>
          <w:tcPr>
            <w:tcW w:w="9962" w:type="dxa"/>
            <w:gridSpan w:val="14"/>
            <w:shd w:val="clear" w:color="auto" w:fill="3399FF"/>
          </w:tcPr>
          <w:p w:rsidR="000533F1" w:rsidRDefault="000D0F1B">
            <w:pPr>
              <w:widowControl/>
              <w:tabs>
                <w:tab w:val="left" w:pos="8070"/>
                <w:tab w:val="right" w:pos="8306"/>
              </w:tabs>
              <w:adjustRightInd w:val="0"/>
              <w:snapToGrid w:val="0"/>
              <w:spacing w:line="360" w:lineRule="auto"/>
              <w:jc w:val="center"/>
              <w:rPr>
                <w:rFonts w:asciiTheme="minorEastAsia" w:eastAsiaTheme="minorEastAsia" w:hAnsiTheme="minorEastAsia" w:cs="宋体"/>
                <w:bCs/>
                <w:kern w:val="0"/>
                <w:szCs w:val="21"/>
              </w:rPr>
            </w:pPr>
            <w:r>
              <w:rPr>
                <w:rStyle w:val="a7"/>
                <w:rFonts w:asciiTheme="minorEastAsia" w:eastAsiaTheme="minorEastAsia" w:hAnsiTheme="minorEastAsia" w:cs="宋体" w:hint="eastAsia"/>
                <w:kern w:val="0"/>
                <w:szCs w:val="21"/>
              </w:rPr>
              <w:t>四、双方权利与义务</w:t>
            </w:r>
          </w:p>
        </w:tc>
      </w:tr>
      <w:tr w:rsidR="000533F1">
        <w:tc>
          <w:tcPr>
            <w:tcW w:w="9962" w:type="dxa"/>
            <w:gridSpan w:val="14"/>
            <w:tcBorders>
              <w:bottom w:val="single" w:sz="4" w:space="0" w:color="000000"/>
            </w:tcBorders>
          </w:tcPr>
          <w:p w:rsidR="000533F1" w:rsidRDefault="000D0F1B">
            <w:pPr>
              <w:widowControl/>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    1.甲方有权依照理财产品合同约定获取理财收益，在约定的投资期内，理财资金本金不另计存款利息。</w:t>
            </w:r>
          </w:p>
          <w:p w:rsidR="000533F1" w:rsidRPr="00DD696B" w:rsidRDefault="000D0F1B" w:rsidP="00DD696B">
            <w:pPr>
              <w:widowControl/>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    2.甲方有权充分了解理财产品合同的条款以及可能发生的风险，充分了解理财产品的管理、运用、处</w:t>
            </w:r>
            <w:r>
              <w:rPr>
                <w:rFonts w:asciiTheme="minorEastAsia" w:eastAsiaTheme="minorEastAsia" w:hAnsiTheme="minorEastAsia" w:hint="eastAsia"/>
                <w:szCs w:val="21"/>
              </w:rPr>
              <w:lastRenderedPageBreak/>
              <w:t>分及</w:t>
            </w:r>
            <w:r w:rsidRPr="00DD696B">
              <w:rPr>
                <w:rFonts w:asciiTheme="minorEastAsia" w:eastAsiaTheme="minorEastAsia" w:hAnsiTheme="minorEastAsia" w:hint="eastAsia"/>
                <w:szCs w:val="21"/>
              </w:rPr>
              <w:t>收支情况，并有权要求乙方按照有关程序做出说明。</w:t>
            </w:r>
          </w:p>
          <w:p w:rsidR="000533F1" w:rsidRPr="00DD696B" w:rsidRDefault="000D0F1B" w:rsidP="00DD696B">
            <w:pPr>
              <w:widowControl/>
              <w:adjustRightInd w:val="0"/>
              <w:snapToGrid w:val="0"/>
              <w:spacing w:line="360" w:lineRule="auto"/>
              <w:jc w:val="left"/>
              <w:rPr>
                <w:rFonts w:asciiTheme="minorEastAsia" w:eastAsiaTheme="minorEastAsia" w:hAnsiTheme="minorEastAsia"/>
                <w:szCs w:val="21"/>
              </w:rPr>
            </w:pPr>
            <w:r w:rsidRPr="00DD696B">
              <w:rPr>
                <w:rFonts w:asciiTheme="minorEastAsia" w:eastAsiaTheme="minorEastAsia" w:hAnsiTheme="minorEastAsia" w:hint="eastAsia"/>
                <w:szCs w:val="21"/>
              </w:rPr>
              <w:t xml:space="preserve">    3.甲方有义务保证理财资金的来源合法，购买理财产品的行为符合法律法规、监管规定及国家政策。</w:t>
            </w:r>
          </w:p>
          <w:p w:rsidR="000533F1" w:rsidRPr="00DD696B" w:rsidRDefault="000D0F1B" w:rsidP="00DD696B">
            <w:pPr>
              <w:widowControl/>
              <w:adjustRightInd w:val="0"/>
              <w:snapToGrid w:val="0"/>
              <w:spacing w:line="360" w:lineRule="auto"/>
              <w:jc w:val="left"/>
              <w:rPr>
                <w:rFonts w:asciiTheme="minorEastAsia" w:eastAsiaTheme="minorEastAsia" w:hAnsiTheme="minorEastAsia"/>
                <w:szCs w:val="21"/>
              </w:rPr>
            </w:pPr>
            <w:r w:rsidRPr="00DD696B">
              <w:rPr>
                <w:rFonts w:asciiTheme="minorEastAsia" w:eastAsiaTheme="minorEastAsia" w:hAnsiTheme="minorEastAsia" w:hint="eastAsia"/>
                <w:szCs w:val="21"/>
              </w:rPr>
              <w:t xml:space="preserve">    4.甲方有义务保证所提供的信息、资料真实有效，如变更，应及时到乙方办理变更登记，因甲方未及时办理相关变更手续而造成的损失，乙方不承担责任。本协议履行过程中乙方需联系甲方时，乙方按照本协议中约定的联系或通知方式联系甲方，其中对其代理人的通知视为对甲方的通知。</w:t>
            </w:r>
          </w:p>
          <w:p w:rsidR="000533F1" w:rsidRPr="00DD696B" w:rsidRDefault="000D0F1B" w:rsidP="00DD696B">
            <w:pPr>
              <w:widowControl/>
              <w:adjustRightInd w:val="0"/>
              <w:snapToGrid w:val="0"/>
              <w:spacing w:line="360" w:lineRule="auto"/>
              <w:jc w:val="left"/>
              <w:rPr>
                <w:rFonts w:asciiTheme="minorEastAsia" w:eastAsiaTheme="minorEastAsia" w:hAnsiTheme="minorEastAsia"/>
                <w:szCs w:val="21"/>
              </w:rPr>
            </w:pPr>
            <w:r w:rsidRPr="00DD696B">
              <w:rPr>
                <w:rFonts w:asciiTheme="minorEastAsia" w:eastAsiaTheme="minorEastAsia" w:hAnsiTheme="minorEastAsia" w:hint="eastAsia"/>
                <w:szCs w:val="21"/>
              </w:rPr>
              <w:t xml:space="preserve">    5.甲方有义务在其资金账户（下称“甲方资金账户”） 中预留足额的认/申购资金，并按照理财产品合同和乙方业务规则办理认/申购、赎回、转让理财产品，缴纳认/申购、赎回、转让相关费用。如因甲方资金账户冻结、挂失、换卡、销户、长期不动户、变更或其他甲方原因导致理财认/申购、赎回、转让等行为无效的，乙方不承担责任。</w:t>
            </w:r>
          </w:p>
          <w:p w:rsidR="000533F1" w:rsidRPr="00DD696B" w:rsidRDefault="000D0F1B" w:rsidP="00DD696B">
            <w:pPr>
              <w:widowControl/>
              <w:adjustRightInd w:val="0"/>
              <w:snapToGrid w:val="0"/>
              <w:spacing w:line="360" w:lineRule="auto"/>
              <w:jc w:val="left"/>
              <w:rPr>
                <w:rFonts w:asciiTheme="minorEastAsia" w:eastAsiaTheme="minorEastAsia" w:hAnsiTheme="minorEastAsia"/>
                <w:szCs w:val="21"/>
              </w:rPr>
            </w:pPr>
            <w:r w:rsidRPr="00DD696B">
              <w:rPr>
                <w:rFonts w:asciiTheme="minorEastAsia" w:eastAsiaTheme="minorEastAsia" w:hAnsiTheme="minorEastAsia" w:hint="eastAsia"/>
                <w:szCs w:val="21"/>
              </w:rPr>
              <w:t xml:space="preserve">    6.甲方有义务在理财产品到期日前，不提前支取本金、收益或要求乙方提前退还被扣划款项，且不得将甲方用于购买理财产品或返还本金、收益的资金账户销户。</w:t>
            </w:r>
          </w:p>
          <w:p w:rsidR="000533F1" w:rsidRPr="00DD696B" w:rsidRDefault="000D0F1B" w:rsidP="00DD696B">
            <w:pPr>
              <w:widowControl/>
              <w:adjustRightInd w:val="0"/>
              <w:snapToGrid w:val="0"/>
              <w:spacing w:line="360" w:lineRule="auto"/>
              <w:ind w:firstLineChars="200" w:firstLine="420"/>
              <w:jc w:val="left"/>
              <w:rPr>
                <w:rFonts w:asciiTheme="minorEastAsia" w:eastAsiaTheme="minorEastAsia" w:hAnsiTheme="minorEastAsia"/>
                <w:szCs w:val="21"/>
              </w:rPr>
            </w:pPr>
            <w:r w:rsidRPr="00DD696B">
              <w:rPr>
                <w:rFonts w:asciiTheme="minorEastAsia" w:eastAsiaTheme="minorEastAsia" w:hAnsiTheme="minorEastAsia" w:hint="eastAsia"/>
                <w:szCs w:val="21"/>
              </w:rPr>
              <w:t>7.对于风险评级为R4</w:t>
            </w:r>
            <w:r w:rsidR="004478A4" w:rsidRPr="00DD696B">
              <w:rPr>
                <w:rFonts w:asciiTheme="minorEastAsia" w:eastAsiaTheme="minorEastAsia" w:hAnsiTheme="minorEastAsia" w:hint="eastAsia"/>
                <w:szCs w:val="21"/>
              </w:rPr>
              <w:t>（含）以上的理财产品的交易，甲方</w:t>
            </w:r>
            <w:r w:rsidRPr="00DD696B">
              <w:rPr>
                <w:rFonts w:asciiTheme="minorEastAsia" w:eastAsiaTheme="minorEastAsia" w:hAnsiTheme="minorEastAsia" w:hint="eastAsia"/>
                <w:szCs w:val="21"/>
              </w:rPr>
              <w:t>愿意选择</w:t>
            </w:r>
            <w:r w:rsidR="004478A4" w:rsidRPr="00DD696B">
              <w:rPr>
                <w:rFonts w:asciiTheme="minorEastAsia" w:eastAsiaTheme="minorEastAsia" w:hAnsiTheme="minorEastAsia" w:hint="eastAsia"/>
                <w:szCs w:val="21"/>
              </w:rPr>
              <w:t>以下任意一种方式进行，并按照乙方相关业务规则处理：（1）在</w:t>
            </w:r>
            <w:r w:rsidRPr="00DD696B">
              <w:rPr>
                <w:rFonts w:asciiTheme="minorEastAsia" w:eastAsiaTheme="minorEastAsia" w:hAnsiTheme="minorEastAsia" w:hint="eastAsia"/>
                <w:szCs w:val="21"/>
              </w:rPr>
              <w:t>乙方网点</w:t>
            </w:r>
            <w:r w:rsidR="004478A4" w:rsidRPr="00DD696B">
              <w:rPr>
                <w:rFonts w:asciiTheme="minorEastAsia" w:eastAsiaTheme="minorEastAsia" w:hAnsiTheme="minorEastAsia" w:hint="eastAsia"/>
                <w:szCs w:val="21"/>
              </w:rPr>
              <w:t>进行；（2）</w:t>
            </w:r>
            <w:r w:rsidR="0067292A" w:rsidRPr="00DD696B">
              <w:rPr>
                <w:rFonts w:asciiTheme="minorEastAsia" w:eastAsiaTheme="minorEastAsia" w:hAnsiTheme="minorEastAsia" w:hint="eastAsia"/>
                <w:szCs w:val="21"/>
              </w:rPr>
              <w:t>在</w:t>
            </w:r>
            <w:r w:rsidR="004478A4" w:rsidRPr="00DD696B">
              <w:rPr>
                <w:rFonts w:asciiTheme="minorEastAsia" w:eastAsiaTheme="minorEastAsia" w:hAnsiTheme="minorEastAsia" w:hint="eastAsia"/>
                <w:szCs w:val="21"/>
              </w:rPr>
              <w:t>乙方网点外的</w:t>
            </w:r>
            <w:r w:rsidRPr="00DD696B">
              <w:rPr>
                <w:rFonts w:asciiTheme="minorEastAsia" w:eastAsiaTheme="minorEastAsia" w:hAnsiTheme="minorEastAsia" w:hint="eastAsia"/>
                <w:szCs w:val="21"/>
              </w:rPr>
              <w:t>其他渠道(包括但不限于网上银行、 手机银行等渠道)</w:t>
            </w:r>
            <w:r w:rsidR="004478A4" w:rsidRPr="00DD696B">
              <w:rPr>
                <w:rFonts w:asciiTheme="minorEastAsia" w:eastAsiaTheme="minorEastAsia" w:hAnsiTheme="minorEastAsia"/>
                <w:szCs w:val="21"/>
              </w:rPr>
              <w:t xml:space="preserve"> </w:t>
            </w:r>
            <w:r w:rsidR="004478A4" w:rsidRPr="00DD696B">
              <w:rPr>
                <w:rFonts w:asciiTheme="minorEastAsia" w:eastAsiaTheme="minorEastAsia" w:hAnsiTheme="minorEastAsia" w:hint="eastAsia"/>
                <w:szCs w:val="21"/>
              </w:rPr>
              <w:t>进行。</w:t>
            </w:r>
          </w:p>
          <w:p w:rsidR="000533F1" w:rsidRDefault="000D0F1B">
            <w:pPr>
              <w:widowControl/>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8.乙方有权确定理财产品的销售渠道（包括但不限于网点柜台、网上银行、手机银行）及其覆盖范围，并及时通知甲方。</w:t>
            </w:r>
          </w:p>
          <w:p w:rsidR="000533F1" w:rsidRDefault="000D0F1B">
            <w:pPr>
              <w:widowControl/>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9.乙方有权依据理财产品合同独立对理财</w:t>
            </w:r>
            <w:bookmarkStart w:id="0" w:name="_GoBack"/>
            <w:bookmarkEnd w:id="0"/>
            <w:r>
              <w:rPr>
                <w:rFonts w:asciiTheme="minorEastAsia" w:eastAsiaTheme="minorEastAsia" w:hAnsiTheme="minorEastAsia" w:hint="eastAsia"/>
                <w:szCs w:val="21"/>
              </w:rPr>
              <w:t>资金进行投资管理，并可委托经相关监管机构批准或认可的其他金融机构对理财资金进行投资管理。</w:t>
            </w:r>
          </w:p>
          <w:p w:rsidR="000533F1" w:rsidRDefault="000D0F1B">
            <w:pPr>
              <w:widowControl/>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10.乙方有权从甲方资金账户扣划本协议项下理财产品相应认/申购资金等理财款项； 除非双方另有书面约定，在甲方购买风险较高或单笔金额较大的理财产品情形下，乙方进行上述资金扣划时无须与甲方再进行电话等任何方式的最后确认，如甲方不同意购买该理财产品且《产品说明书》约定可以撤销购买，甲方应在乙方规定的交易截止时点前及时通知乙方。</w:t>
            </w:r>
          </w:p>
          <w:p w:rsidR="000533F1" w:rsidRDefault="000D0F1B">
            <w:pPr>
              <w:widowControl/>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11.乙方有权依据理财产品合同决定理财资金本金和收益分配方案；乙方有权向甲方收取一定的理财产品管理费、销售费、托管费等相关费用，具体收费项目、条件、方式和标准详见《产品说明书》。</w:t>
            </w:r>
          </w:p>
          <w:p w:rsidR="000533F1" w:rsidRDefault="000D0F1B">
            <w:pPr>
              <w:widowControl/>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 xml:space="preserve">12.认购期满，如募集资金未达到《产品说明书》所规定的规模下限，乙方有权终止该理财产品或相应延长认购期；如提前达到《产品说明书》所规定的募集金额上限，乙方有权提前结束认购并相应调整理财产品起息日和到期日。 </w:t>
            </w:r>
          </w:p>
          <w:p w:rsidR="000533F1" w:rsidRDefault="000D0F1B">
            <w:pPr>
              <w:widowControl/>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13.乙方依约定将理财的本金及收益划入甲方资金账户，即视为向甲方完成支付义务。</w:t>
            </w:r>
          </w:p>
          <w:p w:rsidR="000533F1" w:rsidRDefault="000D0F1B">
            <w:pPr>
              <w:widowControl/>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14.乙方有义务根据恪守信用、勤勉尽责的原则管理和运用理财产品财产，维护甲方利益。</w:t>
            </w:r>
          </w:p>
          <w:p w:rsidR="000533F1" w:rsidRDefault="000D0F1B">
            <w:pPr>
              <w:widowControl/>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15.乙方有义务按照《产品说明书》的约定在相应渠道上披露理财产品相关信息。</w:t>
            </w:r>
          </w:p>
          <w:p w:rsidR="000533F1" w:rsidRDefault="000D0F1B">
            <w:pPr>
              <w:widowControl/>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16.除另有约定外，乙方不负责代扣代缴甲方应缴纳的税款。</w:t>
            </w:r>
          </w:p>
          <w:p w:rsidR="003A1F39" w:rsidRPr="0058335C" w:rsidRDefault="00ED4D56" w:rsidP="007725D5">
            <w:pPr>
              <w:spacing w:line="360" w:lineRule="exact"/>
              <w:ind w:firstLineChars="200" w:firstLine="420"/>
              <w:rPr>
                <w:rFonts w:asciiTheme="minorEastAsia" w:eastAsiaTheme="minorEastAsia" w:hAnsiTheme="minorEastAsia"/>
                <w:szCs w:val="21"/>
              </w:rPr>
            </w:pPr>
            <w:r w:rsidRPr="00ED4D56">
              <w:rPr>
                <w:rFonts w:asciiTheme="minorEastAsia" w:eastAsiaTheme="minorEastAsia" w:hAnsiTheme="minorEastAsia" w:hint="eastAsia"/>
                <w:szCs w:val="21"/>
              </w:rPr>
              <w:t>17.</w:t>
            </w:r>
            <w:r w:rsidR="007725D5">
              <w:rPr>
                <w:rFonts w:asciiTheme="minorEastAsia" w:eastAsiaTheme="minorEastAsia" w:hAnsiTheme="minorEastAsia" w:hint="eastAsia"/>
                <w:szCs w:val="21"/>
              </w:rPr>
              <w:t>甲</w:t>
            </w:r>
            <w:r w:rsidR="00E7397E">
              <w:rPr>
                <w:rFonts w:asciiTheme="minorEastAsia" w:eastAsiaTheme="minorEastAsia" w:hAnsiTheme="minorEastAsia" w:hint="eastAsia"/>
                <w:szCs w:val="21"/>
              </w:rPr>
              <w:t>、</w:t>
            </w:r>
            <w:r w:rsidR="007725D5">
              <w:rPr>
                <w:rFonts w:asciiTheme="minorEastAsia" w:eastAsiaTheme="minorEastAsia" w:hAnsiTheme="minorEastAsia" w:hint="eastAsia"/>
                <w:szCs w:val="21"/>
              </w:rPr>
              <w:t>乙双方对本协议及其条款负有保密义务。除法律法规、监管规定另有要求外，未经一方书面认可，另一方不得向任何组织、个人提供或泄露与对方有关的资料和信息</w:t>
            </w:r>
            <w:r w:rsidR="007725D5" w:rsidRPr="0058335C">
              <w:rPr>
                <w:rFonts w:asciiTheme="minorEastAsia" w:eastAsiaTheme="minorEastAsia" w:hAnsiTheme="minorEastAsia"/>
                <w:szCs w:val="21"/>
              </w:rPr>
              <w:t xml:space="preserve"> </w:t>
            </w:r>
            <w:r w:rsidR="00E7397E">
              <w:rPr>
                <w:rFonts w:asciiTheme="minorEastAsia" w:eastAsiaTheme="minorEastAsia" w:hAnsiTheme="minorEastAsia" w:hint="eastAsia"/>
                <w:szCs w:val="21"/>
              </w:rPr>
              <w:t>。</w:t>
            </w:r>
          </w:p>
          <w:p w:rsidR="00ED4D56" w:rsidRDefault="008B3926" w:rsidP="00D32544">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甲方知晓并同意：乙方</w:t>
            </w:r>
            <w:r w:rsidR="003A1F39" w:rsidRPr="0058335C">
              <w:rPr>
                <w:rFonts w:asciiTheme="minorEastAsia" w:eastAsiaTheme="minorEastAsia" w:hAnsiTheme="minorEastAsia" w:hint="eastAsia"/>
                <w:szCs w:val="21"/>
              </w:rPr>
              <w:t>根据适用的法律法规、监管规定对投资者及持有的理财产品的相关信息进行登</w:t>
            </w:r>
            <w:r w:rsidR="003A1F39" w:rsidRPr="0058335C">
              <w:rPr>
                <w:rFonts w:asciiTheme="minorEastAsia" w:eastAsiaTheme="minorEastAsia" w:hAnsiTheme="minorEastAsia" w:hint="eastAsia"/>
                <w:szCs w:val="21"/>
              </w:rPr>
              <w:lastRenderedPageBreak/>
              <w:t>记，并传输给银行业理财登记托管中心。</w:t>
            </w:r>
          </w:p>
          <w:p w:rsidR="00ED4D56" w:rsidRPr="00ED4D56" w:rsidRDefault="00ED4D56" w:rsidP="00ED4D56">
            <w:pPr>
              <w:widowControl/>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18.法律法规、监管规定和理财产品合同规定的其他权利和义务。</w:t>
            </w:r>
          </w:p>
        </w:tc>
      </w:tr>
      <w:tr w:rsidR="000533F1">
        <w:tc>
          <w:tcPr>
            <w:tcW w:w="9962" w:type="dxa"/>
            <w:gridSpan w:val="14"/>
            <w:shd w:val="clear" w:color="auto" w:fill="3399FF"/>
          </w:tcPr>
          <w:p w:rsidR="000533F1" w:rsidRDefault="000D0F1B">
            <w:pPr>
              <w:widowControl/>
              <w:tabs>
                <w:tab w:val="left" w:pos="8070"/>
                <w:tab w:val="right" w:pos="8306"/>
              </w:tabs>
              <w:adjustRightInd w:val="0"/>
              <w:snapToGrid w:val="0"/>
              <w:spacing w:line="360" w:lineRule="auto"/>
              <w:jc w:val="center"/>
              <w:rPr>
                <w:rFonts w:asciiTheme="minorEastAsia" w:eastAsiaTheme="minorEastAsia" w:hAnsiTheme="minorEastAsia" w:cs="宋体"/>
                <w:bCs/>
                <w:kern w:val="0"/>
                <w:szCs w:val="21"/>
              </w:rPr>
            </w:pPr>
            <w:r>
              <w:rPr>
                <w:rStyle w:val="a7"/>
                <w:rFonts w:asciiTheme="minorEastAsia" w:eastAsiaTheme="minorEastAsia" w:hAnsiTheme="minorEastAsia" w:cs="宋体" w:hint="eastAsia"/>
                <w:kern w:val="0"/>
                <w:szCs w:val="21"/>
              </w:rPr>
              <w:lastRenderedPageBreak/>
              <w:t>五、违约责任与争议处理</w:t>
            </w:r>
          </w:p>
        </w:tc>
      </w:tr>
      <w:tr w:rsidR="000533F1">
        <w:tc>
          <w:tcPr>
            <w:tcW w:w="9962" w:type="dxa"/>
            <w:gridSpan w:val="14"/>
            <w:tcBorders>
              <w:bottom w:val="single" w:sz="4" w:space="0" w:color="000000"/>
            </w:tcBorders>
          </w:tcPr>
          <w:p w:rsidR="000533F1" w:rsidRDefault="000D0F1B">
            <w:pPr>
              <w:widowControl/>
              <w:tabs>
                <w:tab w:val="left" w:pos="0"/>
              </w:tabs>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1.一方不能履行或不能完全履行理财产品合同的，应承担违约责任。</w:t>
            </w:r>
          </w:p>
          <w:p w:rsidR="000533F1" w:rsidRDefault="000D0F1B">
            <w:pPr>
              <w:widowControl/>
              <w:tabs>
                <w:tab w:val="left" w:pos="0"/>
              </w:tabs>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因法律法规、监管规定、监管部门政策变化、自然灾害、意外事故、战争、系统故障、通讯故障等乙方不能控制或不可归责于乙方的因素，导致乙方无法履行本协议及其他理财产品合同的，乙方不承担责任，但乙方应在条件允许的情况下采取必要的补救措施，以减少损失。</w:t>
            </w:r>
          </w:p>
          <w:p w:rsidR="000533F1" w:rsidRDefault="000D0F1B">
            <w:pPr>
              <w:widowControl/>
              <w:tabs>
                <w:tab w:val="left" w:pos="0"/>
              </w:tabs>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本协议及理财产品合同均适用中华人民共和国法律。本协议项下的任何争议，双方应通过友好协商解决；若协商不成，依法向乙方所在地人民法院提起诉讼。在争议解决期间，若该争议不影响本协议及理财产品合同其他条款的履行，则该其他条款应继续履行。</w:t>
            </w:r>
          </w:p>
        </w:tc>
      </w:tr>
      <w:tr w:rsidR="000533F1">
        <w:tc>
          <w:tcPr>
            <w:tcW w:w="9962" w:type="dxa"/>
            <w:gridSpan w:val="14"/>
            <w:shd w:val="clear" w:color="auto" w:fill="3399FF"/>
          </w:tcPr>
          <w:p w:rsidR="000533F1" w:rsidRDefault="000D0F1B">
            <w:pPr>
              <w:widowControl/>
              <w:tabs>
                <w:tab w:val="left" w:pos="8070"/>
                <w:tab w:val="right" w:pos="8306"/>
              </w:tabs>
              <w:adjustRightInd w:val="0"/>
              <w:snapToGrid w:val="0"/>
              <w:spacing w:line="360" w:lineRule="auto"/>
              <w:jc w:val="center"/>
              <w:rPr>
                <w:rFonts w:asciiTheme="minorEastAsia" w:eastAsiaTheme="minorEastAsia" w:hAnsiTheme="minorEastAsia" w:cs="宋体"/>
                <w:bCs/>
                <w:kern w:val="0"/>
                <w:szCs w:val="21"/>
              </w:rPr>
            </w:pPr>
            <w:r>
              <w:rPr>
                <w:rStyle w:val="a7"/>
                <w:rFonts w:asciiTheme="minorEastAsia" w:eastAsiaTheme="minorEastAsia" w:hAnsiTheme="minorEastAsia" w:cs="宋体" w:hint="eastAsia"/>
                <w:kern w:val="0"/>
                <w:szCs w:val="21"/>
              </w:rPr>
              <w:t>六、协议的签署和生效</w:t>
            </w:r>
          </w:p>
        </w:tc>
      </w:tr>
      <w:tr w:rsidR="000533F1">
        <w:tc>
          <w:tcPr>
            <w:tcW w:w="9962" w:type="dxa"/>
            <w:gridSpan w:val="14"/>
            <w:tcBorders>
              <w:bottom w:val="single" w:sz="4" w:space="0" w:color="000000"/>
            </w:tcBorders>
          </w:tcPr>
          <w:p w:rsidR="000533F1" w:rsidRDefault="000D0F1B">
            <w:pPr>
              <w:widowControl/>
              <w:tabs>
                <w:tab w:val="left" w:pos="0"/>
              </w:tabs>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1.甲方为个人投资者的，本协议经甲方签字，乙方盖章后生效；甲方为机构投资者的，本协议经甲方法定代表人或授权代理人签章并加盖法人公章，乙方盖章后生效；</w:t>
            </w:r>
          </w:p>
          <w:p w:rsidR="000533F1" w:rsidRDefault="000D0F1B">
            <w:pPr>
              <w:widowControl/>
              <w:tabs>
                <w:tab w:val="left" w:pos="0"/>
              </w:tabs>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Pr>
                <w:rStyle w:val="a7"/>
                <w:rFonts w:asciiTheme="minorEastAsia" w:eastAsiaTheme="minorEastAsia" w:hAnsiTheme="minorEastAsia" w:cs="宋体" w:hint="eastAsia"/>
                <w:b w:val="0"/>
                <w:kern w:val="0"/>
                <w:szCs w:val="21"/>
              </w:rPr>
              <w:t xml:space="preserve"> 若甲方通过乙方电子渠道（包括但不限于网上银行、手机银行等）购买，则本协议经甲方确认并经乙方销售系统确认成交之日起生效。</w:t>
            </w:r>
          </w:p>
          <w:p w:rsidR="000533F1" w:rsidRPr="006853EF" w:rsidRDefault="000D0F1B">
            <w:pPr>
              <w:widowControl/>
              <w:tabs>
                <w:tab w:val="left" w:pos="0"/>
              </w:tabs>
              <w:adjustRightInd w:val="0"/>
              <w:snapToGrid w:val="0"/>
              <w:spacing w:line="360" w:lineRule="auto"/>
              <w:ind w:firstLineChars="200" w:firstLine="420"/>
              <w:jc w:val="left"/>
              <w:rPr>
                <w:rFonts w:asciiTheme="minorEastAsia" w:eastAsiaTheme="minorEastAsia" w:hAnsiTheme="minorEastAsia"/>
                <w:szCs w:val="21"/>
              </w:rPr>
            </w:pPr>
            <w:r w:rsidRPr="006853EF">
              <w:rPr>
                <w:rFonts w:asciiTheme="minorEastAsia" w:eastAsiaTheme="minorEastAsia" w:hAnsiTheme="minorEastAsia" w:hint="eastAsia"/>
                <w:szCs w:val="21"/>
              </w:rPr>
              <w:t>3.除《产品说明书》约定的提前终止情形外，甲方有违约行</w:t>
            </w:r>
            <w:r w:rsidR="00232FA8" w:rsidRPr="006853EF">
              <w:rPr>
                <w:rFonts w:asciiTheme="minorEastAsia" w:eastAsiaTheme="minorEastAsia" w:hAnsiTheme="minorEastAsia" w:hint="eastAsia"/>
                <w:szCs w:val="21"/>
              </w:rPr>
              <w:t>为或甲方资金账户被有权机关冻结、扣划时，乙方有权提前终止本合同，且乙方不承担任何责任。</w:t>
            </w:r>
          </w:p>
          <w:p w:rsidR="000533F1" w:rsidRDefault="000D0F1B">
            <w:pPr>
              <w:widowControl/>
              <w:tabs>
                <w:tab w:val="left" w:pos="0"/>
              </w:tabs>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4.本协议一式两份，具有同等法律效力，甲乙双方各执一份。</w:t>
            </w:r>
          </w:p>
        </w:tc>
      </w:tr>
      <w:tr w:rsidR="000533F1">
        <w:tc>
          <w:tcPr>
            <w:tcW w:w="9962" w:type="dxa"/>
            <w:gridSpan w:val="14"/>
            <w:shd w:val="clear" w:color="auto" w:fill="3399FF"/>
          </w:tcPr>
          <w:p w:rsidR="000533F1" w:rsidRDefault="000D0F1B">
            <w:pPr>
              <w:widowControl/>
              <w:tabs>
                <w:tab w:val="left" w:pos="8070"/>
                <w:tab w:val="right" w:pos="8306"/>
              </w:tabs>
              <w:adjustRightInd w:val="0"/>
              <w:snapToGrid w:val="0"/>
              <w:spacing w:line="360" w:lineRule="auto"/>
              <w:jc w:val="center"/>
              <w:rPr>
                <w:rFonts w:asciiTheme="minorEastAsia" w:eastAsiaTheme="minorEastAsia" w:hAnsiTheme="minorEastAsia" w:cs="宋体"/>
                <w:bCs/>
                <w:kern w:val="0"/>
                <w:szCs w:val="21"/>
              </w:rPr>
            </w:pPr>
            <w:r>
              <w:rPr>
                <w:rStyle w:val="a7"/>
                <w:rFonts w:asciiTheme="minorEastAsia" w:eastAsiaTheme="minorEastAsia" w:hAnsiTheme="minorEastAsia" w:cs="宋体" w:hint="eastAsia"/>
                <w:kern w:val="0"/>
                <w:szCs w:val="21"/>
              </w:rPr>
              <w:t>协议签署</w:t>
            </w:r>
          </w:p>
        </w:tc>
      </w:tr>
      <w:tr w:rsidR="000533F1">
        <w:trPr>
          <w:trHeight w:val="6794"/>
        </w:trPr>
        <w:tc>
          <w:tcPr>
            <w:tcW w:w="9962" w:type="dxa"/>
            <w:gridSpan w:val="14"/>
          </w:tcPr>
          <w:p w:rsidR="000533F1" w:rsidRDefault="000D0F1B">
            <w:pPr>
              <w:widowControl/>
              <w:tabs>
                <w:tab w:val="left" w:pos="0"/>
              </w:tabs>
              <w:adjustRightInd w:val="0"/>
              <w:snapToGri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lastRenderedPageBreak/>
              <w:t>甲方声明：</w:t>
            </w:r>
          </w:p>
          <w:p w:rsidR="000533F1" w:rsidRDefault="000D0F1B">
            <w:pPr>
              <w:widowControl/>
              <w:tabs>
                <w:tab w:val="left" w:pos="0"/>
              </w:tabs>
              <w:adjustRightInd w:val="0"/>
              <w:snapToGri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 xml:space="preserve">    （一）甲方已经收到所购买理财产品相关的《风险揭示书》、《产品说明书》和《客户权益须知》，并已完全理解和接受上述文件及本协议的全部内容，清楚了解所购买理财产品的内容及风险。甲方的投资决策完全出于自身独立自主判断做出，并愿意承担所购买（或赎回、撤单）理财产品所产生的相关风险和全部后果。</w:t>
            </w:r>
          </w:p>
          <w:p w:rsidR="000533F1" w:rsidRDefault="000D0F1B">
            <w:pPr>
              <w:widowControl/>
              <w:tabs>
                <w:tab w:val="left" w:pos="0"/>
              </w:tabs>
              <w:adjustRightInd w:val="0"/>
              <w:snapToGrid w:val="0"/>
              <w:spacing w:line="360" w:lineRule="auto"/>
              <w:ind w:firstLineChars="196" w:firstLine="413"/>
              <w:jc w:val="left"/>
              <w:rPr>
                <w:rFonts w:asciiTheme="minorEastAsia" w:eastAsiaTheme="minorEastAsia" w:hAnsiTheme="minorEastAsia"/>
                <w:b/>
                <w:szCs w:val="21"/>
              </w:rPr>
            </w:pPr>
            <w:r>
              <w:rPr>
                <w:rFonts w:asciiTheme="minorEastAsia" w:eastAsiaTheme="minorEastAsia" w:hAnsiTheme="minorEastAsia" w:hint="eastAsia"/>
                <w:b/>
                <w:szCs w:val="21"/>
              </w:rPr>
              <w:t>（二）甲方确认乙方相关业务人员对本协议中有关甲乙双方的权利义务，及甲乙双方单方面拥有的某些权利和限制性义务予以解释说明，甲方愿意接受上述条款约束，双方对本协议条款的理解已完全达成一致。</w:t>
            </w:r>
          </w:p>
          <w:p w:rsidR="000533F1" w:rsidRDefault="000533F1">
            <w:pPr>
              <w:widowControl/>
              <w:tabs>
                <w:tab w:val="left" w:pos="0"/>
              </w:tabs>
              <w:adjustRightInd w:val="0"/>
              <w:snapToGrid w:val="0"/>
              <w:spacing w:line="360" w:lineRule="auto"/>
              <w:ind w:firstLineChars="196" w:firstLine="413"/>
              <w:jc w:val="left"/>
              <w:rPr>
                <w:rFonts w:asciiTheme="minorEastAsia" w:eastAsiaTheme="minorEastAsia" w:hAnsiTheme="minorEastAsia"/>
                <w:b/>
                <w:szCs w:val="21"/>
              </w:rPr>
            </w:pPr>
          </w:p>
          <w:p w:rsidR="000533F1" w:rsidRDefault="000D0F1B">
            <w:pPr>
              <w:widowControl/>
              <w:tabs>
                <w:tab w:val="left" w:pos="0"/>
              </w:tabs>
              <w:adjustRightInd w:val="0"/>
              <w:snapToGrid w:val="0"/>
              <w:spacing w:line="360" w:lineRule="auto"/>
              <w:ind w:firstLineChars="196" w:firstLine="413"/>
              <w:jc w:val="left"/>
              <w:rPr>
                <w:rFonts w:asciiTheme="minorEastAsia" w:eastAsiaTheme="minorEastAsia" w:hAnsiTheme="minorEastAsia"/>
                <w:b/>
                <w:szCs w:val="21"/>
                <w:u w:val="single"/>
              </w:rPr>
            </w:pPr>
            <w:r>
              <w:rPr>
                <w:rFonts w:asciiTheme="minorEastAsia" w:eastAsiaTheme="minorEastAsia" w:hAnsiTheme="minorEastAsia" w:hint="eastAsia"/>
                <w:b/>
                <w:szCs w:val="21"/>
              </w:rPr>
              <w:t>甲方：                                         乙方：新疆银行股份有限公司</w:t>
            </w:r>
            <w:r w:rsidR="00902EBC" w:rsidRPr="00902EBC">
              <w:rPr>
                <w:rFonts w:asciiTheme="minorEastAsia" w:eastAsiaTheme="minorEastAsia" w:hAnsiTheme="minorEastAsia" w:hint="eastAsia"/>
                <w:b/>
                <w:szCs w:val="21"/>
                <w:u w:val="single"/>
              </w:rPr>
              <w:t xml:space="preserve"> </w:t>
            </w:r>
            <w:r w:rsidR="00902EBC">
              <w:rPr>
                <w:rFonts w:asciiTheme="minorEastAsia" w:eastAsiaTheme="minorEastAsia" w:hAnsiTheme="minorEastAsia" w:hint="eastAsia"/>
                <w:b/>
                <w:szCs w:val="21"/>
                <w:u w:val="single"/>
              </w:rPr>
              <w:t xml:space="preserve">           </w:t>
            </w:r>
          </w:p>
          <w:p w:rsidR="000533F1" w:rsidRDefault="000533F1">
            <w:pPr>
              <w:widowControl/>
              <w:tabs>
                <w:tab w:val="left" w:pos="0"/>
              </w:tabs>
              <w:adjustRightInd w:val="0"/>
              <w:snapToGrid w:val="0"/>
              <w:spacing w:line="360" w:lineRule="auto"/>
              <w:ind w:firstLineChars="196" w:firstLine="413"/>
              <w:jc w:val="left"/>
              <w:rPr>
                <w:rFonts w:asciiTheme="minorEastAsia" w:eastAsiaTheme="minorEastAsia" w:hAnsiTheme="minorEastAsia"/>
                <w:b/>
                <w:szCs w:val="21"/>
              </w:rPr>
            </w:pPr>
          </w:p>
          <w:p w:rsidR="000533F1" w:rsidRDefault="000D0F1B">
            <w:pPr>
              <w:widowControl/>
              <w:tabs>
                <w:tab w:val="left" w:pos="0"/>
              </w:tabs>
              <w:adjustRightInd w:val="0"/>
              <w:snapToGrid w:val="0"/>
              <w:spacing w:line="360" w:lineRule="auto"/>
              <w:ind w:firstLineChars="196" w:firstLine="413"/>
              <w:jc w:val="left"/>
              <w:rPr>
                <w:rFonts w:asciiTheme="minorEastAsia" w:eastAsiaTheme="minorEastAsia" w:hAnsiTheme="minorEastAsia"/>
                <w:b/>
                <w:szCs w:val="21"/>
              </w:rPr>
            </w:pPr>
            <w:r>
              <w:rPr>
                <w:rFonts w:asciiTheme="minorEastAsia" w:eastAsiaTheme="minorEastAsia" w:hAnsiTheme="minorEastAsia" w:hint="eastAsia"/>
                <w:b/>
                <w:szCs w:val="21"/>
              </w:rPr>
              <w:t>法定代表人/授权代理人：                        理财经理：</w:t>
            </w:r>
          </w:p>
          <w:p w:rsidR="000533F1" w:rsidRDefault="000533F1">
            <w:pPr>
              <w:widowControl/>
              <w:tabs>
                <w:tab w:val="left" w:pos="0"/>
              </w:tabs>
              <w:adjustRightInd w:val="0"/>
              <w:snapToGrid w:val="0"/>
              <w:spacing w:line="360" w:lineRule="auto"/>
              <w:ind w:firstLineChars="196" w:firstLine="413"/>
              <w:jc w:val="left"/>
              <w:rPr>
                <w:rFonts w:asciiTheme="minorEastAsia" w:eastAsiaTheme="minorEastAsia" w:hAnsiTheme="minorEastAsia"/>
                <w:b/>
                <w:szCs w:val="21"/>
              </w:rPr>
            </w:pPr>
          </w:p>
          <w:p w:rsidR="000533F1" w:rsidRDefault="000D0F1B">
            <w:pPr>
              <w:widowControl/>
              <w:tabs>
                <w:tab w:val="left" w:pos="0"/>
              </w:tabs>
              <w:adjustRightInd w:val="0"/>
              <w:snapToGrid w:val="0"/>
              <w:spacing w:line="360" w:lineRule="auto"/>
              <w:ind w:firstLineChars="196" w:firstLine="413"/>
              <w:jc w:val="left"/>
              <w:rPr>
                <w:rFonts w:asciiTheme="minorEastAsia" w:eastAsiaTheme="minorEastAsia" w:hAnsiTheme="minorEastAsia"/>
                <w:b/>
                <w:szCs w:val="21"/>
              </w:rPr>
            </w:pPr>
            <w:r>
              <w:rPr>
                <w:rFonts w:asciiTheme="minorEastAsia" w:eastAsiaTheme="minorEastAsia" w:hAnsiTheme="minorEastAsia" w:hint="eastAsia"/>
                <w:b/>
                <w:szCs w:val="21"/>
              </w:rPr>
              <w:t>日期：                                         理财经理证书编号：</w:t>
            </w:r>
          </w:p>
          <w:p w:rsidR="000533F1" w:rsidRDefault="000533F1">
            <w:pPr>
              <w:widowControl/>
              <w:tabs>
                <w:tab w:val="left" w:pos="0"/>
              </w:tabs>
              <w:adjustRightInd w:val="0"/>
              <w:snapToGrid w:val="0"/>
              <w:spacing w:line="360" w:lineRule="auto"/>
              <w:ind w:firstLineChars="2554" w:firstLine="5384"/>
              <w:jc w:val="left"/>
              <w:rPr>
                <w:rFonts w:asciiTheme="minorEastAsia" w:eastAsiaTheme="minorEastAsia" w:hAnsiTheme="minorEastAsia"/>
                <w:b/>
                <w:szCs w:val="21"/>
              </w:rPr>
            </w:pPr>
          </w:p>
          <w:p w:rsidR="000533F1" w:rsidRDefault="000D0F1B">
            <w:pPr>
              <w:widowControl/>
              <w:tabs>
                <w:tab w:val="left" w:pos="0"/>
              </w:tabs>
              <w:adjustRightInd w:val="0"/>
              <w:snapToGrid w:val="0"/>
              <w:spacing w:line="360" w:lineRule="auto"/>
              <w:ind w:firstLineChars="2507" w:firstLine="5285"/>
              <w:jc w:val="left"/>
              <w:rPr>
                <w:rFonts w:asciiTheme="minorEastAsia" w:eastAsiaTheme="minorEastAsia" w:hAnsiTheme="minorEastAsia"/>
                <w:b/>
                <w:szCs w:val="21"/>
              </w:rPr>
            </w:pPr>
            <w:r>
              <w:rPr>
                <w:rFonts w:asciiTheme="minorEastAsia" w:eastAsiaTheme="minorEastAsia" w:hAnsiTheme="minorEastAsia" w:hint="eastAsia"/>
                <w:b/>
                <w:szCs w:val="21"/>
              </w:rPr>
              <w:t xml:space="preserve"> 日期： </w:t>
            </w:r>
          </w:p>
          <w:p w:rsidR="000533F1" w:rsidRDefault="000533F1">
            <w:pPr>
              <w:widowControl/>
              <w:tabs>
                <w:tab w:val="left" w:pos="0"/>
              </w:tabs>
              <w:adjustRightInd w:val="0"/>
              <w:snapToGrid w:val="0"/>
              <w:spacing w:line="360" w:lineRule="auto"/>
              <w:jc w:val="left"/>
              <w:rPr>
                <w:rFonts w:asciiTheme="minorEastAsia" w:eastAsiaTheme="minorEastAsia" w:hAnsiTheme="minorEastAsia"/>
                <w:b/>
                <w:szCs w:val="21"/>
              </w:rPr>
            </w:pPr>
          </w:p>
        </w:tc>
      </w:tr>
    </w:tbl>
    <w:p w:rsidR="000533F1" w:rsidRDefault="000533F1">
      <w:pPr>
        <w:spacing w:line="360" w:lineRule="auto"/>
        <w:rPr>
          <w:rFonts w:asciiTheme="minorEastAsia" w:eastAsiaTheme="minorEastAsia" w:hAnsiTheme="minorEastAsia" w:cs="宋体"/>
          <w:bCs/>
          <w:kern w:val="0"/>
          <w:szCs w:val="21"/>
        </w:rPr>
      </w:pPr>
    </w:p>
    <w:sectPr w:rsidR="000533F1" w:rsidSect="000533F1">
      <w:head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54A" w:rsidRDefault="00BC654A" w:rsidP="000533F1">
      <w:r>
        <w:separator/>
      </w:r>
    </w:p>
  </w:endnote>
  <w:endnote w:type="continuationSeparator" w:id="0">
    <w:p w:rsidR="00BC654A" w:rsidRDefault="00BC654A" w:rsidP="000533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54A" w:rsidRDefault="00BC654A" w:rsidP="000533F1">
      <w:r>
        <w:separator/>
      </w:r>
    </w:p>
  </w:footnote>
  <w:footnote w:type="continuationSeparator" w:id="0">
    <w:p w:rsidR="00BC654A" w:rsidRDefault="00BC654A" w:rsidP="00053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3F1" w:rsidRDefault="000D0F1B">
    <w:pPr>
      <w:pStyle w:val="a5"/>
      <w:pBdr>
        <w:bottom w:val="none" w:sz="0" w:space="0" w:color="auto"/>
      </w:pBdr>
      <w:jc w:val="left"/>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2540</wp:posOffset>
          </wp:positionV>
          <wp:extent cx="1857375" cy="361950"/>
          <wp:effectExtent l="1905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bright="-10000" contrast="40000"/>
                  </a:blip>
                  <a:srcRect/>
                  <a:stretch>
                    <a:fillRect/>
                  </a:stretch>
                </pic:blipFill>
                <pic:spPr>
                  <a:xfrm>
                    <a:off x="0" y="0"/>
                    <a:ext cx="1857375" cy="361950"/>
                  </a:xfrm>
                  <a:prstGeom prst="rect">
                    <a:avLst/>
                  </a:prstGeom>
                  <a:noFill/>
                  <a:ln w="9525">
                    <a:noFill/>
                    <a:miter lim="800000"/>
                    <a:headEnd/>
                    <a:tailEnd/>
                  </a:ln>
                </pic:spPr>
              </pic:pic>
            </a:graphicData>
          </a:graphic>
        </wp:anchor>
      </w:drawing>
    </w:r>
  </w:p>
  <w:p w:rsidR="000533F1" w:rsidRDefault="000533F1">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12E4"/>
    <w:rsid w:val="00001B27"/>
    <w:rsid w:val="00005909"/>
    <w:rsid w:val="0000676D"/>
    <w:rsid w:val="00027AA5"/>
    <w:rsid w:val="000331E4"/>
    <w:rsid w:val="00045869"/>
    <w:rsid w:val="000533F1"/>
    <w:rsid w:val="000576A0"/>
    <w:rsid w:val="00061366"/>
    <w:rsid w:val="000660F0"/>
    <w:rsid w:val="00067119"/>
    <w:rsid w:val="0006774E"/>
    <w:rsid w:val="000814B2"/>
    <w:rsid w:val="00094495"/>
    <w:rsid w:val="000C6731"/>
    <w:rsid w:val="000D0F1B"/>
    <w:rsid w:val="000F2C67"/>
    <w:rsid w:val="000F409C"/>
    <w:rsid w:val="001247FC"/>
    <w:rsid w:val="001348EF"/>
    <w:rsid w:val="0019089E"/>
    <w:rsid w:val="00197EC6"/>
    <w:rsid w:val="001B2259"/>
    <w:rsid w:val="001D0707"/>
    <w:rsid w:val="001F5AEA"/>
    <w:rsid w:val="00224CC2"/>
    <w:rsid w:val="00232FA8"/>
    <w:rsid w:val="002379BB"/>
    <w:rsid w:val="00242881"/>
    <w:rsid w:val="002641E5"/>
    <w:rsid w:val="00271EA0"/>
    <w:rsid w:val="00284E3E"/>
    <w:rsid w:val="002D27C5"/>
    <w:rsid w:val="002F560B"/>
    <w:rsid w:val="002F6EC4"/>
    <w:rsid w:val="00300253"/>
    <w:rsid w:val="0031502F"/>
    <w:rsid w:val="003317D7"/>
    <w:rsid w:val="0034756F"/>
    <w:rsid w:val="00362212"/>
    <w:rsid w:val="00364CEB"/>
    <w:rsid w:val="00381D34"/>
    <w:rsid w:val="003919EE"/>
    <w:rsid w:val="00394A1C"/>
    <w:rsid w:val="003A1F39"/>
    <w:rsid w:val="003B7D68"/>
    <w:rsid w:val="003D328B"/>
    <w:rsid w:val="003E05C9"/>
    <w:rsid w:val="003F1B6C"/>
    <w:rsid w:val="00440BFD"/>
    <w:rsid w:val="00443CBF"/>
    <w:rsid w:val="004478A4"/>
    <w:rsid w:val="00452D33"/>
    <w:rsid w:val="0046288B"/>
    <w:rsid w:val="00474952"/>
    <w:rsid w:val="004776B0"/>
    <w:rsid w:val="00481581"/>
    <w:rsid w:val="004844A0"/>
    <w:rsid w:val="00484957"/>
    <w:rsid w:val="004B01E1"/>
    <w:rsid w:val="004B0863"/>
    <w:rsid w:val="004B718F"/>
    <w:rsid w:val="004C03E1"/>
    <w:rsid w:val="004F0EAF"/>
    <w:rsid w:val="004F24CD"/>
    <w:rsid w:val="004F3DB3"/>
    <w:rsid w:val="00500D9F"/>
    <w:rsid w:val="0050610C"/>
    <w:rsid w:val="0052201F"/>
    <w:rsid w:val="0052339C"/>
    <w:rsid w:val="005301C2"/>
    <w:rsid w:val="00531FEA"/>
    <w:rsid w:val="00546A6F"/>
    <w:rsid w:val="00553F11"/>
    <w:rsid w:val="005540D6"/>
    <w:rsid w:val="00554C33"/>
    <w:rsid w:val="005612E4"/>
    <w:rsid w:val="005652FB"/>
    <w:rsid w:val="005765BB"/>
    <w:rsid w:val="0058335C"/>
    <w:rsid w:val="005A1872"/>
    <w:rsid w:val="005A267B"/>
    <w:rsid w:val="005A26A0"/>
    <w:rsid w:val="005B0516"/>
    <w:rsid w:val="005C3195"/>
    <w:rsid w:val="005C75A9"/>
    <w:rsid w:val="005D1F93"/>
    <w:rsid w:val="00602E2A"/>
    <w:rsid w:val="00606E3D"/>
    <w:rsid w:val="00614168"/>
    <w:rsid w:val="00661C29"/>
    <w:rsid w:val="006628C7"/>
    <w:rsid w:val="0067292A"/>
    <w:rsid w:val="00680240"/>
    <w:rsid w:val="00681907"/>
    <w:rsid w:val="00684F5E"/>
    <w:rsid w:val="006853EF"/>
    <w:rsid w:val="006C1CD7"/>
    <w:rsid w:val="006C3F17"/>
    <w:rsid w:val="006C7243"/>
    <w:rsid w:val="006D3F93"/>
    <w:rsid w:val="006D5E9F"/>
    <w:rsid w:val="006D7F7C"/>
    <w:rsid w:val="006E5587"/>
    <w:rsid w:val="006F20FD"/>
    <w:rsid w:val="00727B13"/>
    <w:rsid w:val="007352AE"/>
    <w:rsid w:val="00753B8A"/>
    <w:rsid w:val="0076609B"/>
    <w:rsid w:val="007725D5"/>
    <w:rsid w:val="007B2350"/>
    <w:rsid w:val="007D0068"/>
    <w:rsid w:val="007E0EFF"/>
    <w:rsid w:val="007F3785"/>
    <w:rsid w:val="00810934"/>
    <w:rsid w:val="008359CF"/>
    <w:rsid w:val="00862CB7"/>
    <w:rsid w:val="00867592"/>
    <w:rsid w:val="008843E9"/>
    <w:rsid w:val="00884D6F"/>
    <w:rsid w:val="00895EF0"/>
    <w:rsid w:val="008963D9"/>
    <w:rsid w:val="008A4123"/>
    <w:rsid w:val="008B3926"/>
    <w:rsid w:val="008D6DD4"/>
    <w:rsid w:val="008E2FA7"/>
    <w:rsid w:val="00902EBC"/>
    <w:rsid w:val="00903A4B"/>
    <w:rsid w:val="009369EF"/>
    <w:rsid w:val="00951248"/>
    <w:rsid w:val="00960D08"/>
    <w:rsid w:val="009658A6"/>
    <w:rsid w:val="00971C0E"/>
    <w:rsid w:val="00972A44"/>
    <w:rsid w:val="0098131E"/>
    <w:rsid w:val="00986490"/>
    <w:rsid w:val="009F6D3A"/>
    <w:rsid w:val="00A110E1"/>
    <w:rsid w:val="00A1321E"/>
    <w:rsid w:val="00A33A8F"/>
    <w:rsid w:val="00A42734"/>
    <w:rsid w:val="00A672DE"/>
    <w:rsid w:val="00A70E53"/>
    <w:rsid w:val="00A84D9C"/>
    <w:rsid w:val="00A850AA"/>
    <w:rsid w:val="00A9439E"/>
    <w:rsid w:val="00AA1452"/>
    <w:rsid w:val="00AC31A1"/>
    <w:rsid w:val="00AC78D2"/>
    <w:rsid w:val="00AD0E04"/>
    <w:rsid w:val="00AD2725"/>
    <w:rsid w:val="00AD2F37"/>
    <w:rsid w:val="00AF2D41"/>
    <w:rsid w:val="00B144DC"/>
    <w:rsid w:val="00B17271"/>
    <w:rsid w:val="00B3361E"/>
    <w:rsid w:val="00B37615"/>
    <w:rsid w:val="00B50714"/>
    <w:rsid w:val="00B76360"/>
    <w:rsid w:val="00B8066A"/>
    <w:rsid w:val="00B824AF"/>
    <w:rsid w:val="00B92B03"/>
    <w:rsid w:val="00BB43C0"/>
    <w:rsid w:val="00BC1190"/>
    <w:rsid w:val="00BC654A"/>
    <w:rsid w:val="00BD6333"/>
    <w:rsid w:val="00BE621A"/>
    <w:rsid w:val="00BF1AB3"/>
    <w:rsid w:val="00C4477C"/>
    <w:rsid w:val="00C44CBB"/>
    <w:rsid w:val="00C90ACB"/>
    <w:rsid w:val="00C91EFD"/>
    <w:rsid w:val="00CA70FD"/>
    <w:rsid w:val="00CB0920"/>
    <w:rsid w:val="00CB12E9"/>
    <w:rsid w:val="00CC5394"/>
    <w:rsid w:val="00CD427F"/>
    <w:rsid w:val="00CE0C92"/>
    <w:rsid w:val="00CF5A43"/>
    <w:rsid w:val="00D04CAA"/>
    <w:rsid w:val="00D07E27"/>
    <w:rsid w:val="00D22461"/>
    <w:rsid w:val="00D32544"/>
    <w:rsid w:val="00D424E1"/>
    <w:rsid w:val="00D51B63"/>
    <w:rsid w:val="00D56772"/>
    <w:rsid w:val="00D62F65"/>
    <w:rsid w:val="00D85F58"/>
    <w:rsid w:val="00DB16A0"/>
    <w:rsid w:val="00DB7D7F"/>
    <w:rsid w:val="00DD4885"/>
    <w:rsid w:val="00DD696B"/>
    <w:rsid w:val="00DE4D49"/>
    <w:rsid w:val="00E01986"/>
    <w:rsid w:val="00E05D4A"/>
    <w:rsid w:val="00E21713"/>
    <w:rsid w:val="00E23920"/>
    <w:rsid w:val="00E249E9"/>
    <w:rsid w:val="00E37C93"/>
    <w:rsid w:val="00E441E4"/>
    <w:rsid w:val="00E54C43"/>
    <w:rsid w:val="00E66035"/>
    <w:rsid w:val="00E66323"/>
    <w:rsid w:val="00E720BB"/>
    <w:rsid w:val="00E7397E"/>
    <w:rsid w:val="00E749AB"/>
    <w:rsid w:val="00E806F8"/>
    <w:rsid w:val="00E909C8"/>
    <w:rsid w:val="00E9670D"/>
    <w:rsid w:val="00EA5984"/>
    <w:rsid w:val="00EB0341"/>
    <w:rsid w:val="00EC071C"/>
    <w:rsid w:val="00ED4D56"/>
    <w:rsid w:val="00ED6364"/>
    <w:rsid w:val="00EE3467"/>
    <w:rsid w:val="00EE4E2A"/>
    <w:rsid w:val="00EF6CC5"/>
    <w:rsid w:val="00F03CBD"/>
    <w:rsid w:val="00F24E53"/>
    <w:rsid w:val="00F24F20"/>
    <w:rsid w:val="00F62800"/>
    <w:rsid w:val="00F66F38"/>
    <w:rsid w:val="00F96A97"/>
    <w:rsid w:val="00FA6167"/>
    <w:rsid w:val="00FB38CD"/>
    <w:rsid w:val="00FC7471"/>
    <w:rsid w:val="00FD18D6"/>
    <w:rsid w:val="00FE6804"/>
    <w:rsid w:val="00FE74FB"/>
    <w:rsid w:val="00FF7571"/>
    <w:rsid w:val="065760B4"/>
    <w:rsid w:val="207F7B06"/>
    <w:rsid w:val="24A776A1"/>
    <w:rsid w:val="30A90FF0"/>
    <w:rsid w:val="3CDF2599"/>
    <w:rsid w:val="49166DE6"/>
    <w:rsid w:val="57605062"/>
    <w:rsid w:val="5DA051FC"/>
    <w:rsid w:val="638B23A0"/>
    <w:rsid w:val="6C494FFC"/>
    <w:rsid w:val="6FA678A5"/>
    <w:rsid w:val="7C3551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3F1"/>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0533F1"/>
    <w:rPr>
      <w:sz w:val="18"/>
      <w:szCs w:val="18"/>
    </w:rPr>
  </w:style>
  <w:style w:type="paragraph" w:styleId="a4">
    <w:name w:val="footer"/>
    <w:basedOn w:val="a"/>
    <w:link w:val="Char0"/>
    <w:uiPriority w:val="99"/>
    <w:rsid w:val="000533F1"/>
    <w:pPr>
      <w:tabs>
        <w:tab w:val="center" w:pos="4153"/>
        <w:tab w:val="right" w:pos="8306"/>
      </w:tabs>
      <w:snapToGrid w:val="0"/>
      <w:jc w:val="left"/>
    </w:pPr>
    <w:rPr>
      <w:sz w:val="18"/>
      <w:szCs w:val="18"/>
    </w:rPr>
  </w:style>
  <w:style w:type="paragraph" w:styleId="a5">
    <w:name w:val="header"/>
    <w:basedOn w:val="a"/>
    <w:link w:val="Char1"/>
    <w:uiPriority w:val="99"/>
    <w:qFormat/>
    <w:rsid w:val="000533F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0533F1"/>
    <w:pPr>
      <w:spacing w:beforeAutospacing="1" w:afterAutospacing="1"/>
      <w:jc w:val="left"/>
    </w:pPr>
    <w:rPr>
      <w:rFonts w:ascii="Calibri" w:hAnsi="Calibri"/>
      <w:kern w:val="0"/>
      <w:sz w:val="24"/>
      <w:szCs w:val="24"/>
    </w:rPr>
  </w:style>
  <w:style w:type="character" w:styleId="a7">
    <w:name w:val="Strong"/>
    <w:basedOn w:val="a0"/>
    <w:uiPriority w:val="99"/>
    <w:qFormat/>
    <w:rsid w:val="000533F1"/>
    <w:rPr>
      <w:rFonts w:cs="Times New Roman"/>
      <w:b/>
      <w:bCs/>
    </w:rPr>
  </w:style>
  <w:style w:type="table" w:styleId="a8">
    <w:name w:val="Table Grid"/>
    <w:basedOn w:val="a1"/>
    <w:qFormat/>
    <w:locked/>
    <w:rsid w:val="000533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basedOn w:val="a0"/>
    <w:link w:val="a5"/>
    <w:uiPriority w:val="99"/>
    <w:qFormat/>
    <w:locked/>
    <w:rsid w:val="000533F1"/>
    <w:rPr>
      <w:rFonts w:ascii="Times New Roman" w:hAnsi="Times New Roman" w:cs="Times New Roman"/>
      <w:sz w:val="18"/>
      <w:szCs w:val="18"/>
    </w:rPr>
  </w:style>
  <w:style w:type="character" w:customStyle="1" w:styleId="Char0">
    <w:name w:val="页脚 Char"/>
    <w:basedOn w:val="a0"/>
    <w:link w:val="a4"/>
    <w:uiPriority w:val="99"/>
    <w:semiHidden/>
    <w:qFormat/>
    <w:locked/>
    <w:rsid w:val="000533F1"/>
    <w:rPr>
      <w:rFonts w:ascii="Times New Roman" w:hAnsi="Times New Roman" w:cs="Times New Roman"/>
      <w:sz w:val="18"/>
      <w:szCs w:val="18"/>
    </w:rPr>
  </w:style>
  <w:style w:type="character" w:customStyle="1" w:styleId="Char">
    <w:name w:val="批注框文本 Char"/>
    <w:basedOn w:val="a0"/>
    <w:link w:val="a3"/>
    <w:uiPriority w:val="99"/>
    <w:semiHidden/>
    <w:rsid w:val="000533F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1467B3-CD20-4721-BD02-FE66361C2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643</Words>
  <Characters>3666</Characters>
  <Application>Microsoft Office Word</Application>
  <DocSecurity>0</DocSecurity>
  <Lines>30</Lines>
  <Paragraphs>8</Paragraphs>
  <ScaleCrop>false</ScaleCrop>
  <Company>Microsoft</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曹文芳</dc:creator>
  <cp:lastModifiedBy>程晓红</cp:lastModifiedBy>
  <cp:revision>161</cp:revision>
  <cp:lastPrinted>2019-05-06T05:26:00Z</cp:lastPrinted>
  <dcterms:created xsi:type="dcterms:W3CDTF">2017-11-17T10:47:00Z</dcterms:created>
  <dcterms:modified xsi:type="dcterms:W3CDTF">2019-05-09T05:46:00Z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