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10"/>
          <w:rFonts w:hint="eastAsia" w:ascii="黑体" w:hAnsi="黑体" w:eastAsia="黑体" w:cs="宋体"/>
          <w:b w:val="0"/>
          <w:kern w:val="0"/>
          <w:sz w:val="28"/>
          <w:szCs w:val="28"/>
        </w:rPr>
      </w:pPr>
      <w:r>
        <w:rPr>
          <w:rStyle w:val="10"/>
          <w:rFonts w:hint="eastAsia" w:ascii="黑体" w:hAnsi="黑体" w:eastAsia="黑体" w:cs="宋体"/>
          <w:b w:val="0"/>
          <w:kern w:val="0"/>
          <w:sz w:val="28"/>
          <w:szCs w:val="28"/>
        </w:rPr>
        <w:t>新疆银行</w:t>
      </w:r>
      <w:r>
        <w:rPr>
          <w:rStyle w:val="10"/>
          <w:rFonts w:hint="eastAsia" w:ascii="黑体" w:hAnsi="黑体" w:eastAsia="黑体" w:cs="宋体"/>
          <w:b w:val="0"/>
          <w:kern w:val="0"/>
          <w:sz w:val="28"/>
          <w:szCs w:val="28"/>
          <w:lang w:eastAsia="zh-CN"/>
        </w:rPr>
        <w:t>金胡杨私募封闭式净值</w:t>
      </w:r>
      <w:r>
        <w:rPr>
          <w:rStyle w:val="10"/>
          <w:rFonts w:hint="eastAsia" w:ascii="黑体" w:hAnsi="黑体" w:eastAsia="黑体" w:cs="宋体"/>
          <w:b w:val="0"/>
          <w:kern w:val="0"/>
          <w:sz w:val="28"/>
          <w:szCs w:val="28"/>
        </w:rPr>
        <w:t>理财产品协议书</w:t>
      </w:r>
    </w:p>
    <w:p>
      <w:pPr>
        <w:widowControl/>
        <w:spacing w:line="400" w:lineRule="exact"/>
        <w:jc w:val="center"/>
        <w:rPr>
          <w:rStyle w:val="10"/>
          <w:rFonts w:hint="eastAsia" w:ascii="黑体" w:hAnsi="黑体" w:eastAsia="黑体" w:cs="宋体"/>
          <w:b w:val="0"/>
          <w:kern w:val="0"/>
          <w:sz w:val="28"/>
          <w:szCs w:val="28"/>
        </w:rPr>
      </w:pPr>
      <w:r>
        <w:rPr>
          <w:rStyle w:val="10"/>
          <w:rFonts w:hint="eastAsia" w:ascii="宋体" w:hAnsi="宋体" w:cs="宋体"/>
          <w:kern w:val="0"/>
          <w:sz w:val="18"/>
          <w:szCs w:val="18"/>
        </w:rPr>
        <w:t>理财产品过往业绩不代表其未来表现，不等于理财产品实际收益</w:t>
      </w:r>
    </w:p>
    <w:p>
      <w:pPr>
        <w:widowControl/>
        <w:spacing w:line="400" w:lineRule="exact"/>
        <w:jc w:val="center"/>
        <w:rPr>
          <w:rStyle w:val="10"/>
          <w:rFonts w:ascii="宋体" w:hAnsi="宋体" w:cs="宋体"/>
          <w:kern w:val="0"/>
          <w:sz w:val="18"/>
          <w:szCs w:val="18"/>
        </w:rPr>
      </w:pPr>
      <w:r>
        <w:rPr>
          <w:rStyle w:val="10"/>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10"/>
          <w:rFonts w:hint="eastAsia" w:cs="宋体" w:asciiTheme="minorEastAsia" w:hAnsiTheme="minorEastAsia" w:eastAsiaTheme="minorEastAsia"/>
          <w:b w:val="0"/>
          <w:kern w:val="0"/>
          <w:szCs w:val="21"/>
        </w:rPr>
      </w:pPr>
      <w:r>
        <w:rPr>
          <w:rStyle w:val="10"/>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7"/>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1246"/>
        <w:gridCol w:w="1245"/>
        <w:gridCol w:w="200"/>
        <w:gridCol w:w="854"/>
        <w:gridCol w:w="219"/>
        <w:gridCol w:w="486"/>
        <w:gridCol w:w="713"/>
        <w:gridCol w:w="46"/>
        <w:gridCol w:w="1385"/>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2"/>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2"/>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2"/>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8"/>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8"/>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2"/>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2"/>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1"/>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2"/>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w:t>
            </w:r>
            <w:r>
              <w:rPr>
                <w:rFonts w:hint="eastAsia" w:cs="宋体" w:asciiTheme="minorEastAsia" w:hAnsiTheme="minorEastAsia" w:eastAsiaTheme="minorEastAsia"/>
                <w:bCs/>
                <w:kern w:val="0"/>
                <w:szCs w:val="21"/>
                <w:lang w:eastAsia="zh-CN"/>
              </w:rPr>
              <w:t>银行金胡杨私募封闭式净值</w:t>
            </w:r>
            <w:r>
              <w:rPr>
                <w:rFonts w:hint="eastAsia" w:cs="宋体" w:asciiTheme="minorEastAsia" w:hAnsiTheme="minorEastAsia" w:eastAsiaTheme="minorEastAsia"/>
                <w:bCs/>
                <w:kern w:val="0"/>
                <w:szCs w:val="21"/>
              </w:rPr>
              <w:t>理财产品合同由《风险揭示书》、《产品说明书》、《客户权益须知》、本协议书及客户签署的相关业务凭证共同组成。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2"/>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10"/>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2"/>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w:t>
            </w:r>
            <w:bookmarkStart w:id="0" w:name="_GoBack"/>
            <w:bookmarkEnd w:id="0"/>
            <w:r>
              <w:rPr>
                <w:rFonts w:hint="eastAsia" w:cs="宋体" w:asciiTheme="minorEastAsia" w:hAnsiTheme="minorEastAsia" w:eastAsiaTheme="minorEastAsia"/>
                <w:bCs/>
                <w:kern w:val="0"/>
                <w:szCs w:val="21"/>
              </w:rPr>
              <w:t>风险承受能力状况及相关信息，并签署、确认《风险评估问卷》、《风险揭示书》</w:t>
            </w:r>
            <w:r>
              <w:rPr>
                <w:rFonts w:hint="eastAsia" w:cs="宋体" w:asciiTheme="minorEastAsia" w:hAnsiTheme="minorEastAsia" w:eastAsiaTheme="minorEastAsia"/>
                <w:bCs/>
                <w:kern w:val="0"/>
                <w:szCs w:val="21"/>
                <w:lang w:eastAsia="zh-CN"/>
              </w:rPr>
              <w:t>等产品销售文件</w:t>
            </w:r>
            <w:r>
              <w:rPr>
                <w:rFonts w:hint="eastAsia" w:cs="宋体" w:asciiTheme="minorEastAsia" w:hAnsiTheme="minorEastAsia" w:eastAsiaTheme="minorEastAsia"/>
                <w:bCs/>
                <w:kern w:val="0"/>
                <w:szCs w:val="21"/>
              </w:rPr>
              <w:t>；如发生可能影响其风险承受能力的情况，甲方应及时进行风险承受能力再评估；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2"/>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10"/>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2"/>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highlight w:val="none"/>
              </w:rPr>
              <w:t>2.</w:t>
            </w:r>
            <w:r>
              <w:rPr>
                <w:rFonts w:hint="eastAsia" w:cs="宋体" w:asciiTheme="minorEastAsia" w:hAnsiTheme="minorEastAsia" w:eastAsiaTheme="minorEastAsia"/>
                <w:kern w:val="0"/>
                <w:szCs w:val="21"/>
                <w:highlight w:val="none"/>
                <w:lang w:eastAsia="zh-CN"/>
              </w:rPr>
              <w:t>私募封闭式净值理财产品</w:t>
            </w:r>
            <w:r>
              <w:rPr>
                <w:rFonts w:hint="eastAsia" w:cs="宋体" w:asciiTheme="minorEastAsia" w:hAnsiTheme="minorEastAsia" w:eastAsiaTheme="minorEastAsia"/>
                <w:kern w:val="0"/>
                <w:szCs w:val="21"/>
                <w:highlight w:val="none"/>
              </w:rPr>
              <w:t>：</w:t>
            </w:r>
            <w:r>
              <w:rPr>
                <w:rFonts w:hint="eastAsia" w:cs="宋体" w:asciiTheme="minorEastAsia" w:hAnsiTheme="minorEastAsia" w:eastAsiaTheme="minorEastAsia"/>
                <w:kern w:val="0"/>
                <w:szCs w:val="21"/>
              </w:rPr>
              <w:t>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2"/>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10"/>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2"/>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w:t>
            </w:r>
            <w:r>
              <w:rPr>
                <w:rFonts w:hint="eastAsia" w:asciiTheme="minorEastAsia" w:hAnsiTheme="minorEastAsia" w:eastAsiaTheme="minorEastAsia"/>
                <w:szCs w:val="21"/>
                <w:lang w:eastAsia="zh-CN"/>
              </w:rPr>
              <w:t>，符合合格投资者要求，</w:t>
            </w:r>
            <w:r>
              <w:rPr>
                <w:rFonts w:hint="eastAsia" w:asciiTheme="minorEastAsia" w:hAnsiTheme="minorEastAsia" w:eastAsiaTheme="minorEastAsia"/>
                <w:szCs w:val="21"/>
              </w:rPr>
              <w:t>购买理财产品的行为符合法律法规、监管规定及国家政策。</w:t>
            </w:r>
          </w:p>
          <w:p>
            <w:pPr>
              <w:widowControl/>
              <w:adjustRightInd w:val="0"/>
              <w:snapToGrid w:val="0"/>
              <w:spacing w:line="360" w:lineRule="auto"/>
              <w:jc w:val="left"/>
              <w:rPr>
                <w:rFonts w:hint="eastAsia" w:asciiTheme="minorEastAsia" w:hAnsiTheme="minorEastAsia" w:eastAsiaTheme="minorEastAsia"/>
                <w:szCs w:val="21"/>
                <w:lang w:eastAsia="zh-CN"/>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w:t>
            </w:r>
            <w:r>
              <w:rPr>
                <w:rFonts w:hint="eastAsia" w:asciiTheme="minorEastAsia" w:hAnsiTheme="minorEastAsia" w:eastAsiaTheme="minorEastAsia"/>
                <w:szCs w:val="21"/>
                <w:lang w:eastAsia="zh-CN"/>
              </w:rPr>
              <w:t>。</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w:t>
            </w:r>
            <w:r>
              <w:rPr>
                <w:rFonts w:hint="eastAsia" w:asciiTheme="minorEastAsia" w:hAnsiTheme="minorEastAsia" w:eastAsiaTheme="minorEastAsia"/>
                <w:szCs w:val="21"/>
                <w:lang w:eastAsia="zh-CN"/>
              </w:rPr>
              <w:t>购</w:t>
            </w:r>
            <w:r>
              <w:rPr>
                <w:rFonts w:hint="eastAsia" w:asciiTheme="minorEastAsia" w:hAnsiTheme="minorEastAsia" w:eastAsiaTheme="minorEastAsia"/>
                <w:szCs w:val="21"/>
              </w:rPr>
              <w:t>资金，并按照理财产品合同和乙方业务规则办理</w:t>
            </w:r>
            <w:r>
              <w:rPr>
                <w:rFonts w:hint="eastAsia" w:asciiTheme="minorEastAsia" w:hAnsiTheme="minorEastAsia" w:eastAsiaTheme="minorEastAsia"/>
                <w:szCs w:val="21"/>
                <w:lang w:eastAsia="zh-CN"/>
              </w:rPr>
              <w:t>认购</w:t>
            </w:r>
            <w:r>
              <w:rPr>
                <w:rFonts w:hint="eastAsia" w:asciiTheme="minorEastAsia" w:hAnsiTheme="minorEastAsia" w:eastAsiaTheme="minorEastAsia"/>
                <w:szCs w:val="21"/>
              </w:rPr>
              <w:t>理财产品，缴纳认</w:t>
            </w:r>
            <w:r>
              <w:rPr>
                <w:rFonts w:hint="eastAsia" w:asciiTheme="minorEastAsia" w:hAnsiTheme="minorEastAsia" w:eastAsiaTheme="minorEastAsia"/>
                <w:szCs w:val="21"/>
                <w:lang w:eastAsia="zh-CN"/>
              </w:rPr>
              <w:t>购</w:t>
            </w:r>
            <w:r>
              <w:rPr>
                <w:rFonts w:hint="eastAsia" w:asciiTheme="minorEastAsia" w:hAnsiTheme="minorEastAsia" w:eastAsiaTheme="minorEastAsia"/>
                <w:szCs w:val="21"/>
              </w:rPr>
              <w:t>相关费用。如因甲方资金账户冻结、挂失、换卡、销户、长期不动户、变更或其他甲方原因导致理财认</w:t>
            </w:r>
            <w:r>
              <w:rPr>
                <w:rFonts w:hint="eastAsia" w:asciiTheme="minorEastAsia" w:hAnsiTheme="minorEastAsia" w:eastAsiaTheme="minorEastAsia"/>
                <w:szCs w:val="21"/>
                <w:lang w:eastAsia="zh-CN"/>
              </w:rPr>
              <w:t>购</w:t>
            </w:r>
            <w:r>
              <w:rPr>
                <w:rFonts w:hint="eastAsia" w:asciiTheme="minorEastAsia" w:hAnsiTheme="minorEastAsia" w:eastAsiaTheme="minorEastAsia"/>
                <w:szCs w:val="21"/>
              </w:rPr>
              <w:t>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7</w:t>
            </w:r>
            <w:r>
              <w:rPr>
                <w:rFonts w:hint="eastAsia" w:asciiTheme="minorEastAsia" w:hAnsiTheme="minorEastAsia" w:eastAsiaTheme="minorEastAsia"/>
                <w:szCs w:val="21"/>
              </w:rPr>
              <w:t>.乙方有权确定理财产品的销售渠道及其覆盖范围，并及时通知甲方。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rPr>
              <w:t>.乙方有权依据理财产品合同独立对理财资金进行投资管理，并可委托经相关监管机构批准或认可的其他金融机构对理财资金进行投资管理。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9</w:t>
            </w:r>
            <w:r>
              <w:rPr>
                <w:rFonts w:hint="eastAsia" w:asciiTheme="minorEastAsia" w:hAnsiTheme="minorEastAsia" w:eastAsiaTheme="minorEastAsia"/>
                <w:szCs w:val="21"/>
              </w:rPr>
              <w:t>.乙方有权从甲方资金账户扣划本协议项下理财产品相应认/申购资金等理财款项；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10</w:t>
            </w:r>
            <w:r>
              <w:rPr>
                <w:rFonts w:hint="eastAsia" w:asciiTheme="minorEastAsia" w:hAnsiTheme="minorEastAsia" w:eastAsiaTheme="minorEastAsia"/>
                <w:szCs w:val="21"/>
              </w:rPr>
              <w:t>.乙方有权依据理财产品合同决定理财资金本金和收益分配方案；乙方有权向甲方收取一定的理财产品管理费、销售费、托管费等相关费用，具体收费项目、条件、方式和标准详见《产品说明书》。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1</w:t>
            </w:r>
            <w:r>
              <w:rPr>
                <w:rFonts w:hint="eastAsia" w:asciiTheme="minorEastAsia" w:hAnsiTheme="minorEastAsia" w:eastAsiaTheme="minorEastAsia"/>
                <w:szCs w:val="21"/>
              </w:rPr>
              <w:t xml:space="preserve">.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rPr>
              <w:t>.乙方有义务按照《产品说明书》的约定在相应渠道上披露理财产品相关信息。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rPr>
              <w:t>.甲、乙双方对本协议及其条款负有保密义务。除法律法规、监管规定另有要求外，未经一方书面认可，另一方不得向任何组织、个人提供或泄露与对方有关的资料和信息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7</w:t>
            </w:r>
            <w:r>
              <w:rPr>
                <w:rFonts w:hint="eastAsia" w:asciiTheme="minorEastAsia" w:hAnsiTheme="minorEastAsia" w:eastAsiaTheme="minorEastAsia"/>
                <w:szCs w:val="21"/>
              </w:rPr>
              <w:t>.法律法规、监管规定和理财产品合同规定的其他权利和义务。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2"/>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10"/>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2"/>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2"/>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10"/>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2"/>
            <w:tcBorders>
              <w:bottom w:val="single" w:color="000000" w:sz="4" w:space="0"/>
            </w:tcBorders>
          </w:tcPr>
          <w:p>
            <w:pPr>
              <w:widowControl/>
              <w:numPr>
                <w:ilvl w:val="0"/>
                <w:numId w:val="0"/>
              </w:numPr>
              <w:tabs>
                <w:tab w:val="left" w:pos="0"/>
              </w:tabs>
              <w:adjustRightInd w:val="0"/>
              <w:snapToGrid w:val="0"/>
              <w:spacing w:line="360" w:lineRule="auto"/>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1.</w:t>
            </w:r>
            <w:r>
              <w:rPr>
                <w:rFonts w:hint="eastAsia" w:asciiTheme="minorEastAsia" w:hAnsiTheme="minorEastAsia" w:eastAsiaTheme="minorEastAsia"/>
                <w:szCs w:val="21"/>
              </w:rPr>
              <w:t>甲方为个人投资者的，本协议经甲方签字，乙方盖章后生效；</w:t>
            </w:r>
          </w:p>
          <w:p>
            <w:pPr>
              <w:widowControl/>
              <w:numPr>
                <w:ilvl w:val="0"/>
                <w:numId w:val="0"/>
              </w:numPr>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2"/>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10"/>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2"/>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w:t>
            </w:r>
            <w:r>
              <w:rPr>
                <w:rFonts w:hint="eastAsia" w:asciiTheme="minorEastAsia" w:hAnsiTheme="minorEastAsia" w:eastAsiaTheme="minorEastAsia"/>
                <w:b/>
                <w:szCs w:val="21"/>
                <w:lang w:eastAsia="zh-CN"/>
              </w:rPr>
              <w:t>、</w:t>
            </w:r>
            <w:r>
              <w:rPr>
                <w:rFonts w:hint="eastAsia" w:asciiTheme="minorEastAsia" w:hAnsiTheme="minorEastAsia" w:eastAsiaTheme="minorEastAsia"/>
                <w:b/>
                <w:szCs w:val="21"/>
              </w:rPr>
              <w:t>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w:t>
            </w:r>
            <w:r>
              <w:rPr>
                <w:rFonts w:hint="eastAsia" w:asciiTheme="minorEastAsia" w:hAnsiTheme="minorEastAsia" w:eastAsiaTheme="minorEastAsia"/>
                <w:b/>
                <w:szCs w:val="21"/>
                <w:lang w:eastAsia="zh-CN"/>
              </w:rPr>
              <w:t>相关业务人员</w:t>
            </w:r>
            <w:r>
              <w:rPr>
                <w:rFonts w:hint="eastAsia" w:asciiTheme="minorEastAsia" w:hAnsiTheme="minorEastAsia" w:eastAsiaTheme="minorEastAsia"/>
                <w:b/>
                <w:szCs w:val="21"/>
              </w:rPr>
              <w:t>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w:t>
            </w:r>
            <w:r>
              <w:rPr>
                <w:rFonts w:hint="eastAsia" w:asciiTheme="minorEastAsia" w:hAnsiTheme="minorEastAsia" w:eastAsiaTheme="minorEastAsia"/>
                <w:b/>
                <w:szCs w:val="21"/>
                <w:lang w:eastAsia="zh-CN"/>
              </w:rPr>
              <w:t>（签字）</w:t>
            </w:r>
            <w:r>
              <w:rPr>
                <w:rFonts w:hint="eastAsia" w:asciiTheme="minorEastAsia" w:hAnsiTheme="minorEastAsia" w:eastAsiaTheme="minorEastAsia"/>
                <w:b/>
                <w:szCs w:val="21"/>
              </w:rPr>
              <w:t>：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w:t>
            </w:r>
            <w:r>
              <w:rPr>
                <w:rFonts w:hint="eastAsia" w:asciiTheme="minorEastAsia" w:hAnsiTheme="minorEastAsia" w:eastAsiaTheme="minorEastAsia"/>
                <w:b/>
                <w:szCs w:val="21"/>
                <w:lang w:val="en-US" w:eastAsia="zh-CN"/>
              </w:rPr>
              <w:t xml:space="preserve">                       </w:t>
            </w:r>
            <w:r>
              <w:rPr>
                <w:rFonts w:hint="eastAsia" w:asciiTheme="minorEastAsia" w:hAnsiTheme="minorEastAsia" w:eastAsiaTheme="minorEastAsia"/>
                <w:b/>
                <w:szCs w:val="21"/>
              </w:rPr>
              <w:t xml:space="preserve">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5"/>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403226E"/>
    <w:rsid w:val="042E3EE9"/>
    <w:rsid w:val="065760B4"/>
    <w:rsid w:val="08E03E0C"/>
    <w:rsid w:val="096A57E3"/>
    <w:rsid w:val="0C442819"/>
    <w:rsid w:val="10ED3CDF"/>
    <w:rsid w:val="132D69A4"/>
    <w:rsid w:val="15487FC7"/>
    <w:rsid w:val="15A8603A"/>
    <w:rsid w:val="16AC25D4"/>
    <w:rsid w:val="185D4FE4"/>
    <w:rsid w:val="1CDC6EF2"/>
    <w:rsid w:val="1E36380A"/>
    <w:rsid w:val="1FFF5A8B"/>
    <w:rsid w:val="207F7B06"/>
    <w:rsid w:val="225311D5"/>
    <w:rsid w:val="24A776A1"/>
    <w:rsid w:val="290A779C"/>
    <w:rsid w:val="2D080885"/>
    <w:rsid w:val="30A90FF0"/>
    <w:rsid w:val="337E02F7"/>
    <w:rsid w:val="33EC459B"/>
    <w:rsid w:val="35D25FB9"/>
    <w:rsid w:val="3CDF2599"/>
    <w:rsid w:val="3D7C42D1"/>
    <w:rsid w:val="445D75A4"/>
    <w:rsid w:val="46763F2C"/>
    <w:rsid w:val="47E13998"/>
    <w:rsid w:val="49166DE6"/>
    <w:rsid w:val="4B5A587B"/>
    <w:rsid w:val="4FFD4F28"/>
    <w:rsid w:val="5194737D"/>
    <w:rsid w:val="550739D6"/>
    <w:rsid w:val="56BA0391"/>
    <w:rsid w:val="57605062"/>
    <w:rsid w:val="57943C70"/>
    <w:rsid w:val="58FA201D"/>
    <w:rsid w:val="5B420DA7"/>
    <w:rsid w:val="5CC618D4"/>
    <w:rsid w:val="5D172BAA"/>
    <w:rsid w:val="5DA051FC"/>
    <w:rsid w:val="5DBE5D86"/>
    <w:rsid w:val="6134470E"/>
    <w:rsid w:val="638B23A0"/>
    <w:rsid w:val="6992255B"/>
    <w:rsid w:val="6A3B76ED"/>
    <w:rsid w:val="6C494FFC"/>
    <w:rsid w:val="6FA678A5"/>
    <w:rsid w:val="768D08CE"/>
    <w:rsid w:val="78A073D7"/>
    <w:rsid w:val="7AD44DA9"/>
    <w:rsid w:val="7C355186"/>
    <w:rsid w:val="7C812B2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unhideWhenUsed/>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3"/>
    <w:unhideWhenUsed/>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Autospacing="1" w:afterAutospacing="1"/>
      <w:jc w:val="left"/>
    </w:pPr>
    <w:rPr>
      <w:rFonts w:ascii="Calibri" w:hAnsi="Calibri"/>
      <w:kern w:val="0"/>
      <w:sz w:val="24"/>
      <w:szCs w:val="24"/>
    </w:rPr>
  </w:style>
  <w:style w:type="table" w:styleId="8">
    <w:name w:val="Table Grid"/>
    <w:basedOn w:val="7"/>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0">
    <w:name w:val="Strong"/>
    <w:basedOn w:val="9"/>
    <w:qFormat/>
    <w:uiPriority w:val="99"/>
    <w:rPr>
      <w:rFonts w:cs="Times New Roman"/>
      <w:b/>
      <w:bCs/>
    </w:rPr>
  </w:style>
  <w:style w:type="character" w:customStyle="1" w:styleId="11">
    <w:name w:val="页眉 Char"/>
    <w:basedOn w:val="9"/>
    <w:link w:val="5"/>
    <w:qFormat/>
    <w:locked/>
    <w:uiPriority w:val="99"/>
    <w:rPr>
      <w:rFonts w:ascii="Times New Roman" w:hAnsi="Times New Roman" w:cs="Times New Roman"/>
      <w:sz w:val="18"/>
      <w:szCs w:val="18"/>
    </w:rPr>
  </w:style>
  <w:style w:type="character" w:customStyle="1" w:styleId="12">
    <w:name w:val="页脚 Char"/>
    <w:basedOn w:val="9"/>
    <w:link w:val="4"/>
    <w:semiHidden/>
    <w:qFormat/>
    <w:locked/>
    <w:uiPriority w:val="99"/>
    <w:rPr>
      <w:rFonts w:ascii="Times New Roman" w:hAnsi="Times New Roman" w:cs="Times New Roman"/>
      <w:sz w:val="18"/>
      <w:szCs w:val="18"/>
    </w:rPr>
  </w:style>
  <w:style w:type="character" w:customStyle="1" w:styleId="13">
    <w:name w:val="批注框文本 Char"/>
    <w:basedOn w:val="9"/>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25</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2020-10-27T10:27:32Z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