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10"/>
          <w:rFonts w:hint="eastAsia" w:ascii="黑体" w:hAnsi="黑体" w:eastAsia="黑体" w:cs="宋体"/>
          <w:kern w:val="0"/>
          <w:sz w:val="28"/>
          <w:szCs w:val="28"/>
        </w:rPr>
      </w:pPr>
      <w:r>
        <w:rPr>
          <w:rStyle w:val="10"/>
          <w:rFonts w:hint="eastAsia" w:ascii="黑体" w:hAnsi="黑体" w:eastAsia="黑体" w:cs="宋体"/>
          <w:kern w:val="0"/>
          <w:sz w:val="28"/>
          <w:szCs w:val="28"/>
        </w:rPr>
        <w:t>新疆银行</w:t>
      </w:r>
      <w:r>
        <w:rPr>
          <w:rStyle w:val="10"/>
          <w:rFonts w:hint="eastAsia" w:ascii="黑体" w:hAnsi="黑体" w:eastAsia="黑体" w:cs="宋体"/>
          <w:kern w:val="0"/>
          <w:sz w:val="28"/>
          <w:szCs w:val="28"/>
          <w:lang w:eastAsia="zh-CN"/>
        </w:rPr>
        <w:t>金胡杨私募封闭式净值</w:t>
      </w:r>
      <w:r>
        <w:rPr>
          <w:rStyle w:val="10"/>
          <w:rFonts w:hint="eastAsia" w:ascii="黑体" w:hAnsi="黑体" w:eastAsia="黑体" w:cs="宋体"/>
          <w:kern w:val="0"/>
          <w:sz w:val="28"/>
          <w:szCs w:val="28"/>
        </w:rPr>
        <w:t>理财产品说明书</w:t>
      </w:r>
    </w:p>
    <w:p>
      <w:pPr>
        <w:widowControl/>
        <w:spacing w:line="400" w:lineRule="exact"/>
        <w:jc w:val="center"/>
        <w:rPr>
          <w:rStyle w:val="10"/>
          <w:rFonts w:hint="eastAsia" w:ascii="黑体" w:hAnsi="黑体" w:eastAsia="黑体" w:cs="宋体"/>
          <w:b w:val="0"/>
          <w:kern w:val="0"/>
          <w:sz w:val="28"/>
          <w:szCs w:val="28"/>
        </w:rPr>
      </w:pPr>
      <w:r>
        <w:rPr>
          <w:rStyle w:val="10"/>
          <w:rFonts w:hint="eastAsia" w:ascii="宋体" w:hAnsi="宋体" w:cs="宋体"/>
          <w:kern w:val="0"/>
          <w:sz w:val="18"/>
          <w:szCs w:val="18"/>
        </w:rPr>
        <w:t>理财产品过往业绩不代表其未来表现，不等于理财产品实际收益</w:t>
      </w:r>
    </w:p>
    <w:p>
      <w:pPr>
        <w:spacing w:line="400" w:lineRule="exact"/>
        <w:jc w:val="center"/>
        <w:rPr>
          <w:rStyle w:val="10"/>
          <w:rFonts w:ascii="宋体" w:hAnsi="宋体" w:cs="宋体"/>
          <w:kern w:val="0"/>
          <w:sz w:val="18"/>
          <w:szCs w:val="18"/>
        </w:rPr>
      </w:pPr>
      <w:r>
        <w:rPr>
          <w:rStyle w:val="10"/>
          <w:rFonts w:hint="eastAsia" w:ascii="宋体" w:hAnsi="宋体" w:cs="宋体"/>
          <w:kern w:val="0"/>
          <w:sz w:val="18"/>
          <w:szCs w:val="18"/>
        </w:rPr>
        <w:t>理财非存款、产品有风险、投资须谨慎</w:t>
      </w:r>
    </w:p>
    <w:p>
      <w:pPr>
        <w:spacing w:line="400" w:lineRule="exact"/>
        <w:rPr>
          <w:rStyle w:val="10"/>
          <w:rFonts w:ascii="华文仿宋" w:hAnsi="华文仿宋" w:eastAsia="华文仿宋" w:cs="华文仿宋"/>
          <w:kern w:val="0"/>
          <w:sz w:val="24"/>
          <w:szCs w:val="24"/>
        </w:rPr>
      </w:pPr>
      <w:r>
        <w:rPr>
          <w:rStyle w:val="10"/>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w:t>
      </w:r>
      <w:r>
        <w:rPr>
          <w:rFonts w:hint="eastAsia" w:ascii="华文仿宋" w:hAnsi="华文仿宋" w:eastAsia="华文仿宋" w:cs="华文仿宋"/>
          <w:color w:val="000000" w:themeColor="text1"/>
          <w:sz w:val="24"/>
          <w:szCs w:val="24"/>
          <w:lang w:eastAsia="zh-CN"/>
          <w14:textFill>
            <w14:solidFill>
              <w14:schemeClr w14:val="tx1"/>
            </w14:solidFill>
          </w14:textFill>
        </w:rPr>
        <w:t>金胡杨私募封闭式净值</w:t>
      </w:r>
      <w:r>
        <w:rPr>
          <w:rFonts w:hint="eastAsia" w:ascii="华文仿宋" w:hAnsi="华文仿宋" w:eastAsia="华文仿宋" w:cs="华文仿宋"/>
          <w:color w:val="000000" w:themeColor="text1"/>
          <w:sz w:val="24"/>
          <w:szCs w:val="24"/>
          <w14:textFill>
            <w14:solidFill>
              <w14:schemeClr w14:val="tx1"/>
            </w14:solidFill>
          </w14:textFill>
        </w:rPr>
        <w:t>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w:t>
      </w:r>
      <w:r>
        <w:rPr>
          <w:rFonts w:hint="eastAsia" w:ascii="华文仿宋" w:hAnsi="华文仿宋" w:eastAsia="华文仿宋" w:cs="华文仿宋"/>
          <w:color w:val="000000" w:themeColor="text1"/>
          <w:sz w:val="24"/>
          <w:szCs w:val="24"/>
          <w:lang w:eastAsia="zh-CN"/>
          <w14:textFill>
            <w14:solidFill>
              <w14:schemeClr w14:val="tx1"/>
            </w14:solidFill>
          </w14:textFill>
        </w:rPr>
        <w:t>私募封闭式</w:t>
      </w:r>
      <w:r>
        <w:rPr>
          <w:rFonts w:hint="eastAsia" w:ascii="华文仿宋" w:hAnsi="华文仿宋" w:eastAsia="华文仿宋" w:cs="华文仿宋"/>
          <w:color w:val="000000" w:themeColor="text1"/>
          <w:sz w:val="24"/>
          <w:szCs w:val="24"/>
          <w14:textFill>
            <w14:solidFill>
              <w14:schemeClr w14:val="tx1"/>
            </w14:solidFill>
          </w14:textFill>
        </w:rPr>
        <w:t>净值理财产品，无预期收益率，不保证本金和收益，可能因市场变动而损失部分或全部的本金及收益，请您充分认识投资风险，谨慎投资。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highlight w:val="none"/>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w:t>
      </w:r>
      <w:r>
        <w:rPr>
          <w:rFonts w:hint="eastAsia" w:ascii="华文仿宋" w:hAnsi="华文仿宋" w:eastAsia="华文仿宋" w:cs="华文仿宋"/>
          <w:color w:val="000000" w:themeColor="text1"/>
          <w:sz w:val="24"/>
          <w:szCs w:val="24"/>
          <w:lang w:eastAsia="zh-CN"/>
          <w14:textFill>
            <w14:solidFill>
              <w14:schemeClr w14:val="tx1"/>
            </w14:solidFill>
          </w14:textFill>
        </w:rPr>
        <w:t>本理财产品</w:t>
      </w:r>
      <w:r>
        <w:rPr>
          <w:rFonts w:hint="eastAsia" w:ascii="华文仿宋" w:hAnsi="华文仿宋" w:eastAsia="华文仿宋" w:cs="华文仿宋"/>
          <w:color w:val="000000" w:themeColor="text1"/>
          <w:sz w:val="24"/>
          <w:szCs w:val="24"/>
          <w14:textFill>
            <w14:solidFill>
              <w14:schemeClr w14:val="tx1"/>
            </w14:solidFill>
          </w14:textFill>
        </w:rPr>
        <w:t>内部风险评级为R</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3平衡</w:t>
      </w:r>
      <w:r>
        <w:rPr>
          <w:rFonts w:hint="eastAsia" w:ascii="华文仿宋" w:hAnsi="华文仿宋" w:eastAsia="华文仿宋" w:cs="华文仿宋"/>
          <w:color w:val="000000" w:themeColor="text1"/>
          <w:sz w:val="24"/>
          <w:szCs w:val="24"/>
          <w14:textFill>
            <w14:solidFill>
              <w14:schemeClr w14:val="tx1"/>
            </w14:solidFill>
          </w14:textFill>
        </w:rPr>
        <w:t>型（中</w:t>
      </w:r>
      <w:r>
        <w:rPr>
          <w:rFonts w:hint="eastAsia" w:ascii="华文仿宋" w:hAnsi="华文仿宋" w:eastAsia="华文仿宋" w:cs="华文仿宋"/>
          <w:color w:val="000000" w:themeColor="text1"/>
          <w:sz w:val="24"/>
          <w:szCs w:val="24"/>
          <w:lang w:eastAsia="zh-CN"/>
          <w14:textFill>
            <w14:solidFill>
              <w14:schemeClr w14:val="tx1"/>
            </w14:solidFill>
          </w14:textFill>
        </w:rPr>
        <w:t>等</w:t>
      </w:r>
      <w:r>
        <w:rPr>
          <w:rFonts w:hint="eastAsia" w:ascii="华文仿宋" w:hAnsi="华文仿宋" w:eastAsia="华文仿宋" w:cs="华文仿宋"/>
          <w:color w:val="000000" w:themeColor="text1"/>
          <w:sz w:val="24"/>
          <w:szCs w:val="24"/>
          <w14:textFill>
            <w14:solidFill>
              <w14:schemeClr w14:val="tx1"/>
            </w14:solidFill>
          </w14:textFill>
        </w:rPr>
        <w:t>风险)</w:t>
      </w:r>
      <w:r>
        <w:rPr>
          <w:rFonts w:hint="eastAsia" w:ascii="华文仿宋" w:hAnsi="华文仿宋" w:eastAsia="华文仿宋" w:cs="华文仿宋"/>
          <w:color w:val="000000" w:themeColor="text1"/>
          <w:sz w:val="24"/>
          <w:szCs w:val="24"/>
          <w:highlight w:val="none"/>
          <w14:textFill>
            <w14:solidFill>
              <w14:schemeClr w14:val="tx1"/>
            </w14:solidFill>
          </w14:textFill>
        </w:rPr>
        <w:t>，适合具有一定风险承受能力的投资者购买。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10"/>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10"/>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10"/>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10"/>
                                <w:rFonts w:hint="eastAsia" w:ascii="宋体" w:hAnsi="宋体" w:eastAsia="宋体" w:cs="宋体"/>
                                <w:b w:val="0"/>
                                <w:bCs w:val="0"/>
                                <w:kern w:val="0"/>
                                <w:szCs w:val="21"/>
                                <w:lang w:eastAsia="zh-CN"/>
                              </w:rPr>
                            </w:pPr>
                            <w:r>
                              <w:rPr>
                                <w:rStyle w:val="10"/>
                                <w:rFonts w:hint="eastAsia" w:ascii="宋体" w:hAnsi="宋体" w:eastAsia="宋体" w:cs="宋体"/>
                                <w:b w:val="0"/>
                                <w:bCs w:val="0"/>
                                <w:kern w:val="0"/>
                                <w:szCs w:val="21"/>
                                <w:lang w:eastAsia="zh-CN"/>
                              </w:rPr>
                              <w:drawing>
                                <wp:inline distT="0" distB="0" distL="114300" distR="114300">
                                  <wp:extent cx="4969510" cy="2710815"/>
                                  <wp:effectExtent l="0" t="0" r="2540" b="13335"/>
                                  <wp:docPr id="10" name="图片 10" descr="cb72a6ac76f2e3278f825d68289ea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b72a6ac76f2e3278f825d68289ea23"/>
                                          <pic:cNvPicPr>
                                            <a:picLocks noChangeAspect="1"/>
                                          </pic:cNvPicPr>
                                        </pic:nvPicPr>
                                        <pic:blipFill>
                                          <a:blip r:embed="rId6"/>
                                          <a:stretch>
                                            <a:fillRect/>
                                          </a:stretch>
                                        </pic:blipFill>
                                        <pic:spPr>
                                          <a:xfrm>
                                            <a:off x="0" y="0"/>
                                            <a:ext cx="4969510" cy="2710815"/>
                                          </a:xfrm>
                                          <a:prstGeom prst="rect">
                                            <a:avLst/>
                                          </a:prstGeom>
                                        </pic:spPr>
                                      </pic:pic>
                                    </a:graphicData>
                                  </a:graphic>
                                </wp:inline>
                              </w:drawing>
                            </w:r>
                          </w:p>
                          <w:p>
                            <w:pPr>
                              <w:rPr>
                                <w:rStyle w:val="10"/>
                                <w:rFonts w:ascii="宋体" w:hAnsi="宋体" w:cs="宋体"/>
                                <w:b w:val="0"/>
                                <w:bCs w:val="0"/>
                                <w:kern w:val="0"/>
                                <w:szCs w:val="21"/>
                              </w:rPr>
                            </w:pPr>
                            <w:r>
                              <w:rPr>
                                <w:rStyle w:val="10"/>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10"/>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w:t>
                            </w:r>
                            <w:r>
                              <w:rPr>
                                <w:rStyle w:val="10"/>
                                <w:rFonts w:hint="eastAsia" w:ascii="华文仿宋" w:hAnsi="华文仿宋" w:eastAsia="华文仿宋" w:cs="华文仿宋"/>
                                <w:b w:val="0"/>
                                <w:bCs w:val="0"/>
                                <w:kern w:val="0"/>
                                <w:sz w:val="24"/>
                                <w:szCs w:val="24"/>
                                <w:lang w:eastAsia="zh-CN"/>
                              </w:rPr>
                              <w:t>等</w:t>
                            </w:r>
                            <w:r>
                              <w:rPr>
                                <w:rStyle w:val="10"/>
                                <w:rFonts w:hint="eastAsia" w:ascii="华文仿宋" w:hAnsi="华文仿宋" w:eastAsia="华文仿宋" w:cs="华文仿宋"/>
                                <w:b w:val="0"/>
                                <w:bCs w:val="0"/>
                                <w:kern w:val="0"/>
                                <w:sz w:val="24"/>
                                <w:szCs w:val="24"/>
                              </w:rPr>
                              <w:t>是指本产品投资组合的整体评级为我行的中</w:t>
                            </w:r>
                            <w:r>
                              <w:rPr>
                                <w:rStyle w:val="10"/>
                                <w:rFonts w:hint="eastAsia" w:ascii="华文仿宋" w:hAnsi="华文仿宋" w:eastAsia="华文仿宋" w:cs="华文仿宋"/>
                                <w:b w:val="0"/>
                                <w:bCs w:val="0"/>
                                <w:kern w:val="0"/>
                                <w:sz w:val="24"/>
                                <w:szCs w:val="24"/>
                                <w:lang w:eastAsia="zh-CN"/>
                              </w:rPr>
                              <w:t>等</w:t>
                            </w:r>
                            <w:r>
                              <w:rPr>
                                <w:rStyle w:val="10"/>
                                <w:rFonts w:hint="eastAsia" w:ascii="华文仿宋" w:hAnsi="华文仿宋" w:eastAsia="华文仿宋" w:cs="华文仿宋"/>
                                <w:b w:val="0"/>
                                <w:bCs w:val="0"/>
                                <w:kern w:val="0"/>
                                <w:sz w:val="24"/>
                                <w:szCs w:val="24"/>
                              </w:rPr>
                              <w:t>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10"/>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10"/>
                          <w:rFonts w:hint="eastAsia" w:ascii="宋体" w:hAnsi="宋体" w:eastAsia="宋体" w:cs="宋体"/>
                          <w:b w:val="0"/>
                          <w:bCs w:val="0"/>
                          <w:kern w:val="0"/>
                          <w:szCs w:val="21"/>
                          <w:lang w:eastAsia="zh-CN"/>
                        </w:rPr>
                      </w:pPr>
                      <w:r>
                        <w:rPr>
                          <w:rStyle w:val="10"/>
                          <w:rFonts w:hint="eastAsia" w:ascii="宋体" w:hAnsi="宋体" w:eastAsia="宋体" w:cs="宋体"/>
                          <w:b w:val="0"/>
                          <w:bCs w:val="0"/>
                          <w:kern w:val="0"/>
                          <w:szCs w:val="21"/>
                          <w:lang w:eastAsia="zh-CN"/>
                        </w:rPr>
                        <w:drawing>
                          <wp:inline distT="0" distB="0" distL="114300" distR="114300">
                            <wp:extent cx="4969510" cy="2710815"/>
                            <wp:effectExtent l="0" t="0" r="2540" b="13335"/>
                            <wp:docPr id="10" name="图片 10" descr="cb72a6ac76f2e3278f825d68289ea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b72a6ac76f2e3278f825d68289ea23"/>
                                    <pic:cNvPicPr>
                                      <a:picLocks noChangeAspect="1"/>
                                    </pic:cNvPicPr>
                                  </pic:nvPicPr>
                                  <pic:blipFill>
                                    <a:blip r:embed="rId6"/>
                                    <a:stretch>
                                      <a:fillRect/>
                                    </a:stretch>
                                  </pic:blipFill>
                                  <pic:spPr>
                                    <a:xfrm>
                                      <a:off x="0" y="0"/>
                                      <a:ext cx="4969510" cy="2710815"/>
                                    </a:xfrm>
                                    <a:prstGeom prst="rect">
                                      <a:avLst/>
                                    </a:prstGeom>
                                  </pic:spPr>
                                </pic:pic>
                              </a:graphicData>
                            </a:graphic>
                          </wp:inline>
                        </w:drawing>
                      </w:r>
                    </w:p>
                    <w:p>
                      <w:pPr>
                        <w:rPr>
                          <w:rStyle w:val="10"/>
                          <w:rFonts w:ascii="宋体" w:hAnsi="宋体" w:cs="宋体"/>
                          <w:b w:val="0"/>
                          <w:bCs w:val="0"/>
                          <w:kern w:val="0"/>
                          <w:szCs w:val="21"/>
                        </w:rPr>
                      </w:pPr>
                      <w:r>
                        <w:rPr>
                          <w:rStyle w:val="10"/>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10"/>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w:t>
                      </w:r>
                      <w:r>
                        <w:rPr>
                          <w:rStyle w:val="10"/>
                          <w:rFonts w:hint="eastAsia" w:ascii="华文仿宋" w:hAnsi="华文仿宋" w:eastAsia="华文仿宋" w:cs="华文仿宋"/>
                          <w:b w:val="0"/>
                          <w:bCs w:val="0"/>
                          <w:kern w:val="0"/>
                          <w:sz w:val="24"/>
                          <w:szCs w:val="24"/>
                          <w:lang w:eastAsia="zh-CN"/>
                        </w:rPr>
                        <w:t>等</w:t>
                      </w:r>
                      <w:r>
                        <w:rPr>
                          <w:rStyle w:val="10"/>
                          <w:rFonts w:hint="eastAsia" w:ascii="华文仿宋" w:hAnsi="华文仿宋" w:eastAsia="华文仿宋" w:cs="华文仿宋"/>
                          <w:b w:val="0"/>
                          <w:bCs w:val="0"/>
                          <w:kern w:val="0"/>
                          <w:sz w:val="24"/>
                          <w:szCs w:val="24"/>
                        </w:rPr>
                        <w:t>是指本产品投资组合的整体评级为我行的中</w:t>
                      </w:r>
                      <w:r>
                        <w:rPr>
                          <w:rStyle w:val="10"/>
                          <w:rFonts w:hint="eastAsia" w:ascii="华文仿宋" w:hAnsi="华文仿宋" w:eastAsia="华文仿宋" w:cs="华文仿宋"/>
                          <w:b w:val="0"/>
                          <w:bCs w:val="0"/>
                          <w:kern w:val="0"/>
                          <w:sz w:val="24"/>
                          <w:szCs w:val="24"/>
                          <w:lang w:eastAsia="zh-CN"/>
                        </w:rPr>
                        <w:t>等</w:t>
                      </w:r>
                      <w:r>
                        <w:rPr>
                          <w:rStyle w:val="10"/>
                          <w:rFonts w:hint="eastAsia" w:ascii="华文仿宋" w:hAnsi="华文仿宋" w:eastAsia="华文仿宋" w:cs="华文仿宋"/>
                          <w:b w:val="0"/>
                          <w:bCs w:val="0"/>
                          <w:kern w:val="0"/>
                          <w:sz w:val="24"/>
                          <w:szCs w:val="24"/>
                        </w:rPr>
                        <w:t>风险等级。</w:t>
                      </w:r>
                    </w:p>
                  </w:txbxContent>
                </v:textbox>
              </v:shape>
            </w:pict>
          </mc:Fallback>
        </mc:AlternateContent>
      </w:r>
      <w:r>
        <w:rPr>
          <w:rStyle w:val="10"/>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tbl>
      <w:tblPr>
        <w:tblStyle w:val="7"/>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lang w:eastAsia="zh-CN"/>
              </w:rPr>
              <w:t>金胡杨私募封闭式净值理财产品第</w:t>
            </w:r>
            <w:r>
              <w:rPr>
                <w:rFonts w:hint="eastAsia" w:ascii="华文仿宋" w:hAnsi="华文仿宋" w:eastAsia="华文仿宋" w:cs="华文仿宋"/>
                <w:bCs/>
                <w:kern w:val="0"/>
                <w:sz w:val="24"/>
                <w:szCs w:val="24"/>
                <w:lang w:val="en-US" w:eastAsia="zh-CN"/>
              </w:rPr>
              <w:t>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宋体" w:cs="华文仿宋"/>
                <w:bCs/>
                <w:kern w:val="0"/>
                <w:sz w:val="24"/>
                <w:szCs w:val="24"/>
                <w:lang w:val="en-US" w:eastAsia="zh-CN"/>
              </w:rPr>
            </w:pPr>
            <w:r>
              <w:rPr>
                <w:rFonts w:hint="eastAsia" w:ascii="宋体" w:hAnsi="宋体" w:cs="宋体"/>
                <w:sz w:val="24"/>
                <w:szCs w:val="24"/>
                <w:lang w:val="en-US" w:eastAsia="zh-CN"/>
              </w:rPr>
              <w:t>C1364320A000037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10"/>
                <w:rFonts w:hint="eastAsia" w:ascii="华文仿宋" w:hAnsi="华文仿宋" w:eastAsia="华文仿宋" w:cs="华文仿宋"/>
                <w:b w:val="0"/>
                <w:bCs w:val="0"/>
                <w:kern w:val="0"/>
                <w:sz w:val="24"/>
                <w:szCs w:val="24"/>
                <w:lang w:eastAsia="zh-CN"/>
              </w:rPr>
            </w:pPr>
            <w:r>
              <w:rPr>
                <w:rStyle w:val="10"/>
                <w:rFonts w:hint="eastAsia" w:ascii="华文仿宋" w:hAnsi="华文仿宋" w:eastAsia="华文仿宋" w:cs="华文仿宋"/>
                <w:b w:val="0"/>
                <w:bCs w:val="0"/>
                <w:kern w:val="0"/>
                <w:sz w:val="24"/>
                <w:szCs w:val="24"/>
                <w:lang w:eastAsia="zh-CN"/>
              </w:rPr>
              <w:t>私募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10"/>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10"/>
                <w:rFonts w:ascii="华文仿宋" w:hAnsi="华文仿宋" w:eastAsia="华文仿宋" w:cs="华文仿宋"/>
                <w:b w:val="0"/>
                <w:bCs w:val="0"/>
                <w:kern w:val="0"/>
                <w:sz w:val="24"/>
                <w:szCs w:val="24"/>
              </w:rPr>
            </w:pPr>
            <w:r>
              <w:rPr>
                <w:rStyle w:val="10"/>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10"/>
                <w:rFonts w:ascii="华文仿宋" w:hAnsi="华文仿宋" w:eastAsia="华文仿宋" w:cs="华文仿宋"/>
                <w:b w:val="0"/>
                <w:bCs w:val="0"/>
                <w:kern w:val="0"/>
                <w:sz w:val="24"/>
                <w:szCs w:val="24"/>
              </w:rPr>
            </w:pPr>
            <w:r>
              <w:rPr>
                <w:rStyle w:val="10"/>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w:t>
            </w:r>
            <w:r>
              <w:rPr>
                <w:rFonts w:hint="eastAsia" w:ascii="华文仿宋" w:hAnsi="华文仿宋" w:eastAsia="华文仿宋" w:cs="华文仿宋"/>
                <w:b/>
                <w:kern w:val="0"/>
                <w:sz w:val="24"/>
                <w:szCs w:val="24"/>
                <w:lang w:val="en-US" w:eastAsia="zh-CN"/>
              </w:rPr>
              <w:t>3平衡型</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w:t>
            </w:r>
            <w:r>
              <w:rPr>
                <w:rFonts w:hint="eastAsia" w:ascii="华文仿宋" w:hAnsi="华文仿宋" w:eastAsia="华文仿宋" w:cs="华文仿宋"/>
                <w:bCs/>
                <w:kern w:val="0"/>
                <w:sz w:val="24"/>
                <w:szCs w:val="24"/>
                <w:highlight w:val="none"/>
              </w:rPr>
              <w:t>本产品适合</w:t>
            </w:r>
            <w:r>
              <w:rPr>
                <w:rFonts w:hint="eastAsia" w:ascii="华文仿宋" w:hAnsi="华文仿宋" w:eastAsia="华文仿宋" w:cs="华文仿宋"/>
                <w:b/>
                <w:bCs/>
                <w:sz w:val="24"/>
                <w:szCs w:val="24"/>
                <w:highlight w:val="none"/>
              </w:rPr>
              <w:t>平衡型、成长型、进取型</w:t>
            </w:r>
            <w:r>
              <w:rPr>
                <w:rFonts w:hint="eastAsia" w:ascii="华文仿宋" w:hAnsi="华文仿宋" w:eastAsia="华文仿宋" w:cs="华文仿宋"/>
                <w:bCs/>
                <w:kern w:val="0"/>
                <w:sz w:val="24"/>
                <w:szCs w:val="24"/>
                <w:highlight w:val="none"/>
              </w:rPr>
              <w:t>的</w:t>
            </w:r>
            <w:r>
              <w:rPr>
                <w:rFonts w:hint="eastAsia" w:ascii="华文仿宋" w:hAnsi="华文仿宋" w:eastAsia="华文仿宋" w:cs="华文仿宋"/>
                <w:bCs/>
                <w:kern w:val="0"/>
                <w:sz w:val="24"/>
                <w:szCs w:val="24"/>
                <w:highlight w:val="none"/>
                <w:lang w:eastAsia="zh-CN"/>
              </w:rPr>
              <w:t>合格投资者</w:t>
            </w:r>
            <w:r>
              <w:rPr>
                <w:rFonts w:hint="eastAsia" w:ascii="华文仿宋" w:hAnsi="华文仿宋" w:eastAsia="华文仿宋" w:cs="华文仿宋"/>
                <w:bCs/>
                <w:kern w:val="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w:t>
            </w:r>
            <w:r>
              <w:rPr>
                <w:rFonts w:hint="eastAsia" w:ascii="华文仿宋" w:hAnsi="华文仿宋" w:eastAsia="华文仿宋" w:cs="华文仿宋"/>
                <w:bCs/>
                <w:kern w:val="0"/>
                <w:sz w:val="24"/>
                <w:szCs w:val="24"/>
                <w:lang w:val="en-US" w:eastAsia="zh-CN"/>
              </w:rPr>
              <w:t>30</w:t>
            </w:r>
            <w:r>
              <w:rPr>
                <w:rFonts w:hint="eastAsia" w:ascii="华文仿宋" w:hAnsi="华文仿宋" w:eastAsia="华文仿宋" w:cs="华文仿宋"/>
                <w:bCs/>
                <w:kern w:val="0"/>
                <w:sz w:val="24"/>
                <w:szCs w:val="24"/>
              </w:rPr>
              <w:t>万元，以</w:t>
            </w:r>
            <w:r>
              <w:rPr>
                <w:rFonts w:hint="eastAsia" w:ascii="华文仿宋" w:hAnsi="华文仿宋" w:eastAsia="华文仿宋" w:cs="华文仿宋"/>
                <w:bCs/>
                <w:kern w:val="0"/>
                <w:sz w:val="24"/>
                <w:szCs w:val="24"/>
                <w:lang w:val="en-US" w:eastAsia="zh-CN"/>
              </w:rPr>
              <w:t>1万元</w:t>
            </w:r>
            <w:r>
              <w:rPr>
                <w:rFonts w:hint="eastAsia" w:ascii="华文仿宋" w:hAnsi="华文仿宋" w:eastAsia="华文仿宋" w:cs="华文仿宋"/>
                <w:bCs/>
                <w:kern w:val="0"/>
                <w:sz w:val="24"/>
                <w:szCs w:val="24"/>
              </w:rPr>
              <w:t>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w:t>
            </w:r>
            <w:r>
              <w:rPr>
                <w:rFonts w:hint="eastAsia" w:ascii="华文仿宋" w:hAnsi="华文仿宋" w:eastAsia="华文仿宋" w:cs="华文仿宋"/>
                <w:kern w:val="0"/>
                <w:sz w:val="24"/>
                <w:szCs w:val="24"/>
                <w:lang w:eastAsia="zh-CN"/>
              </w:rPr>
              <w:t>发行</w:t>
            </w:r>
            <w:r>
              <w:rPr>
                <w:rFonts w:hint="eastAsia" w:ascii="华文仿宋" w:hAnsi="华文仿宋" w:eastAsia="华文仿宋" w:cs="华文仿宋"/>
                <w:kern w:val="0"/>
                <w:sz w:val="24"/>
                <w:szCs w:val="24"/>
              </w:rPr>
              <w:t>规模</w:t>
            </w:r>
            <w:r>
              <w:rPr>
                <w:rFonts w:hint="eastAsia" w:ascii="华文仿宋" w:hAnsi="华文仿宋" w:eastAsia="华文仿宋" w:cs="华文仿宋"/>
                <w:kern w:val="0"/>
                <w:sz w:val="24"/>
                <w:szCs w:val="24"/>
                <w:lang w:val="en-US" w:eastAsia="zh-CN"/>
              </w:rPr>
              <w:t xml:space="preserve">1000万元至6000 </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hint="eastAsia" w:ascii="华文仿宋" w:hAnsi="华文仿宋" w:eastAsia="华文仿宋" w:cs="华文仿宋"/>
                <w:bCs/>
                <w:kern w:val="0"/>
                <w:sz w:val="24"/>
                <w:szCs w:val="24"/>
                <w:lang w:val="en-US" w:eastAsia="zh-CN" w:bidi="ar-SA"/>
              </w:rPr>
            </w:pPr>
            <w:r>
              <w:rPr>
                <w:rFonts w:hint="eastAsia" w:ascii="华文仿宋" w:hAnsi="华文仿宋" w:eastAsia="华文仿宋" w:cs="华文仿宋"/>
                <w:bCs/>
                <w:kern w:val="0"/>
                <w:sz w:val="24"/>
                <w:szCs w:val="24"/>
                <w:lang w:eastAsia="zh-CN"/>
              </w:rPr>
              <w:t>产品冷静期</w:t>
            </w:r>
          </w:p>
        </w:tc>
        <w:tc>
          <w:tcPr>
            <w:tcW w:w="8048" w:type="dxa"/>
            <w:vAlign w:val="center"/>
          </w:tcPr>
          <w:p>
            <w:pPr>
              <w:numPr>
                <w:ilvl w:val="0"/>
                <w:numId w:val="0"/>
              </w:numPr>
              <w:spacing w:line="360" w:lineRule="exact"/>
              <w:ind w:left="0" w:leftChars="0" w:firstLine="480" w:firstLineChars="200"/>
              <w:rPr>
                <w:rFonts w:hint="eastAsia" w:ascii="华文仿宋" w:hAnsi="华文仿宋" w:eastAsia="华文仿宋" w:cs="华文仿宋"/>
                <w:bCs/>
                <w:kern w:val="0"/>
                <w:sz w:val="24"/>
                <w:szCs w:val="24"/>
                <w:highlight w:val="yellow"/>
                <w:lang w:val="en-US" w:eastAsia="zh-CN" w:bidi="ar-SA"/>
              </w:rPr>
            </w:pPr>
            <w:r>
              <w:rPr>
                <w:rFonts w:hint="eastAsia" w:ascii="华文仿宋" w:hAnsi="华文仿宋" w:eastAsia="华文仿宋"/>
                <w:b w:val="0"/>
                <w:bCs/>
                <w:sz w:val="24"/>
                <w:szCs w:val="24"/>
                <w:lang w:val="en-US" w:eastAsia="zh-CN"/>
              </w:rPr>
              <w:t>双方签订协议起二十五小时内，如您改变决定，需解除签订的销售协议，我行将及时退还您的全部投资款项，在此二十五小时之内即为投资冷静期</w:t>
            </w:r>
            <w:r>
              <w:rPr>
                <w:rFonts w:hint="eastAsia" w:ascii="华文仿宋" w:hAnsi="华文仿宋" w:eastAsia="华文仿宋"/>
                <w:b w:val="0"/>
                <w:bCs/>
                <w:sz w:val="24"/>
                <w:szCs w:val="24"/>
                <w:highlight w:val="none"/>
                <w:lang w:val="en-US" w:eastAsia="zh-CN"/>
              </w:rPr>
              <w:t>，投资冷静期截止时间为产品起息日前一日的19:00整。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年</w:t>
            </w:r>
            <w:r>
              <w:rPr>
                <w:rFonts w:hint="eastAsia" w:ascii="华文仿宋" w:hAnsi="华文仿宋" w:eastAsia="华文仿宋" w:cs="华文仿宋"/>
                <w:bCs/>
                <w:kern w:val="0"/>
                <w:sz w:val="24"/>
                <w:szCs w:val="24"/>
                <w:lang w:val="en-US" w:eastAsia="zh-CN"/>
              </w:rPr>
              <w:t>10月28</w:t>
            </w:r>
            <w:r>
              <w:rPr>
                <w:rFonts w:hint="eastAsia" w:ascii="华文仿宋" w:hAnsi="华文仿宋" w:eastAsia="华文仿宋" w:cs="华文仿宋"/>
                <w:bCs/>
                <w:kern w:val="0"/>
                <w:sz w:val="24"/>
                <w:szCs w:val="24"/>
              </w:rPr>
              <w:t xml:space="preserve"> 日</w:t>
            </w:r>
            <w:r>
              <w:rPr>
                <w:rFonts w:hint="eastAsia" w:ascii="华文仿宋" w:hAnsi="华文仿宋" w:eastAsia="华文仿宋" w:cs="华文仿宋"/>
                <w:bCs/>
                <w:kern w:val="0"/>
                <w:sz w:val="24"/>
                <w:szCs w:val="24"/>
                <w:lang w:eastAsia="zh-CN"/>
              </w:rPr>
              <w:t>至</w:t>
            </w:r>
            <w:r>
              <w:rPr>
                <w:rFonts w:hint="eastAsia" w:ascii="华文仿宋" w:hAnsi="华文仿宋" w:eastAsia="华文仿宋" w:cs="华文仿宋"/>
                <w:bCs/>
                <w:kern w:val="0"/>
                <w:sz w:val="24"/>
                <w:szCs w:val="24"/>
                <w:lang w:val="en-US" w:eastAsia="zh-CN"/>
              </w:rPr>
              <w:t>2020年11月02日</w:t>
            </w:r>
            <w:r>
              <w:rPr>
                <w:rFonts w:hint="eastAsia" w:ascii="华文仿宋" w:hAnsi="华文仿宋" w:eastAsia="华文仿宋" w:cs="华文仿宋"/>
                <w:bCs/>
                <w:kern w:val="0"/>
                <w:sz w:val="24"/>
                <w:szCs w:val="24"/>
              </w:rPr>
              <w:t>。即客户可以购买本产品的时间段。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hint="default" w:ascii="华文仿宋" w:hAnsi="华文仿宋" w:eastAsia="华文仿宋" w:cs="华文仿宋"/>
                <w:sz w:val="24"/>
                <w:szCs w:val="24"/>
                <w:lang w:val="en-US" w:eastAsia="zh-CN"/>
              </w:rPr>
            </w:pPr>
            <w:r>
              <w:rPr>
                <w:rFonts w:hint="eastAsia" w:ascii="华文仿宋" w:hAnsi="华文仿宋" w:eastAsia="华文仿宋" w:cs="华文仿宋"/>
                <w:kern w:val="0"/>
                <w:sz w:val="24"/>
                <w:szCs w:val="24"/>
                <w:highlight w:val="none"/>
                <w:lang w:val="en-US" w:eastAsia="zh-CN"/>
              </w:rPr>
              <w:t>2020</w:t>
            </w:r>
            <w:r>
              <w:rPr>
                <w:rFonts w:hint="eastAsia" w:ascii="华文仿宋" w:hAnsi="华文仿宋" w:eastAsia="华文仿宋" w:cs="华文仿宋"/>
                <w:kern w:val="0"/>
                <w:sz w:val="24"/>
                <w:szCs w:val="24"/>
                <w:highlight w:val="none"/>
              </w:rPr>
              <w:t>年</w:t>
            </w:r>
            <w:r>
              <w:rPr>
                <w:rFonts w:hint="eastAsia" w:ascii="华文仿宋" w:hAnsi="华文仿宋" w:eastAsia="华文仿宋" w:cs="华文仿宋"/>
                <w:kern w:val="0"/>
                <w:sz w:val="24"/>
                <w:szCs w:val="24"/>
                <w:highlight w:val="none"/>
                <w:lang w:val="en-US" w:eastAsia="zh-CN"/>
              </w:rPr>
              <w:t>11月04</w:t>
            </w:r>
            <w:r>
              <w:rPr>
                <w:rFonts w:hint="eastAsia" w:ascii="华文仿宋" w:hAnsi="华文仿宋" w:eastAsia="华文仿宋" w:cs="华文仿宋"/>
                <w:kern w:val="0"/>
                <w:sz w:val="24"/>
                <w:szCs w:val="24"/>
                <w:highlight w:val="none"/>
              </w:rPr>
              <w:t>日</w:t>
            </w:r>
            <w:r>
              <w:rPr>
                <w:rFonts w:hint="eastAsia" w:ascii="华文仿宋" w:hAnsi="华文仿宋" w:eastAsia="华文仿宋" w:cs="华文仿宋"/>
                <w:bCs/>
                <w:kern w:val="0"/>
                <w:sz w:val="24"/>
                <w:szCs w:val="24"/>
                <w:highlight w:val="none"/>
              </w:rPr>
              <w:t>，</w:t>
            </w:r>
            <w:r>
              <w:rPr>
                <w:rFonts w:hint="eastAsia" w:ascii="华文仿宋" w:hAnsi="华文仿宋" w:eastAsia="华文仿宋" w:cs="华文仿宋"/>
                <w:kern w:val="0"/>
                <w:sz w:val="24"/>
                <w:szCs w:val="24"/>
                <w:highlight w:val="none"/>
              </w:rPr>
              <w:t>理财产品自成立日起计算理财收益</w:t>
            </w:r>
            <w:r>
              <w:rPr>
                <w:rFonts w:hint="eastAsia" w:ascii="华文仿宋" w:hAnsi="华文仿宋" w:eastAsia="华文仿宋" w:cs="华文仿宋"/>
                <w:kern w:val="0"/>
                <w:sz w:val="24"/>
                <w:szCs w:val="24"/>
                <w:highlight w:val="none"/>
                <w:lang w:eastAsia="zh-CN"/>
              </w:rPr>
              <w:t>。理财产品成立日前的认购</w:t>
            </w:r>
            <w:r>
              <w:rPr>
                <w:rFonts w:hint="eastAsia" w:ascii="华文仿宋" w:hAnsi="华文仿宋" w:eastAsia="华文仿宋" w:cs="华文仿宋"/>
                <w:bCs/>
                <w:kern w:val="0"/>
                <w:sz w:val="24"/>
                <w:szCs w:val="24"/>
                <w:highlight w:val="none"/>
              </w:rPr>
              <w:t>资金按照活期存款利率计息，</w:t>
            </w:r>
            <w:r>
              <w:rPr>
                <w:rFonts w:hint="eastAsia" w:ascii="华文仿宋" w:hAnsi="华文仿宋" w:eastAsia="华文仿宋" w:cs="华文仿宋"/>
                <w:bCs/>
                <w:kern w:val="0"/>
                <w:sz w:val="24"/>
                <w:szCs w:val="24"/>
                <w:highlight w:val="none"/>
                <w:lang w:eastAsia="zh-CN"/>
              </w:rPr>
              <w:t>该</w:t>
            </w:r>
            <w:r>
              <w:rPr>
                <w:rFonts w:hint="eastAsia" w:ascii="华文仿宋" w:hAnsi="华文仿宋" w:eastAsia="华文仿宋" w:cs="华文仿宋"/>
                <w:bCs/>
                <w:kern w:val="0"/>
                <w:sz w:val="24"/>
                <w:szCs w:val="24"/>
                <w:highlight w:val="none"/>
              </w:rPr>
              <w:t>利息不计入认购本金份额。</w:t>
            </w:r>
            <w:r>
              <w:rPr>
                <w:rFonts w:hint="eastAsia" w:ascii="华文仿宋" w:hAnsi="华文仿宋" w:eastAsia="华文仿宋" w:cs="华文仿宋"/>
                <w:bCs/>
                <w:kern w:val="0"/>
                <w:sz w:val="24"/>
                <w:szCs w:val="24"/>
                <w:highlight w:val="none"/>
                <w:lang w:eastAsia="zh-CN"/>
              </w:rPr>
              <w:t>本</w:t>
            </w:r>
            <w:r>
              <w:rPr>
                <w:rFonts w:hint="eastAsia" w:ascii="华文仿宋" w:hAnsi="华文仿宋" w:eastAsia="华文仿宋" w:cs="华文仿宋"/>
                <w:bCs/>
                <w:kern w:val="0"/>
                <w:sz w:val="24"/>
                <w:szCs w:val="24"/>
                <w:highlight w:val="none"/>
              </w:rPr>
              <w:t>产品的成立日为</w:t>
            </w:r>
            <w:r>
              <w:rPr>
                <w:rFonts w:hint="eastAsia" w:ascii="华文仿宋" w:hAnsi="华文仿宋" w:eastAsia="华文仿宋" w:cs="华文仿宋"/>
                <w:bCs/>
                <w:kern w:val="0"/>
                <w:sz w:val="24"/>
                <w:szCs w:val="24"/>
                <w:highlight w:val="none"/>
                <w:lang w:eastAsia="zh-CN"/>
              </w:rPr>
              <w:t>募集期结束后第二个工作日。</w:t>
            </w:r>
            <w:r>
              <w:rPr>
                <w:rFonts w:hint="eastAsia" w:ascii="华文仿宋" w:hAnsi="华文仿宋" w:eastAsia="华文仿宋" w:cs="华文仿宋"/>
                <w:bCs/>
                <w:kern w:val="0"/>
                <w:sz w:val="24"/>
                <w:szCs w:val="24"/>
              </w:rPr>
              <w:t>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年</w:t>
            </w:r>
            <w:r>
              <w:rPr>
                <w:rFonts w:hint="eastAsia" w:ascii="华文仿宋" w:hAnsi="华文仿宋" w:eastAsia="华文仿宋" w:cs="华文仿宋"/>
                <w:bCs/>
                <w:sz w:val="24"/>
                <w:szCs w:val="24"/>
                <w:lang w:val="en-US" w:eastAsia="zh-CN"/>
              </w:rPr>
              <w:t>11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04日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年</w:t>
            </w:r>
            <w:r>
              <w:rPr>
                <w:rFonts w:hint="eastAsia" w:ascii="华文仿宋" w:hAnsi="华文仿宋" w:eastAsia="华文仿宋" w:cs="华文仿宋"/>
                <w:bCs/>
                <w:sz w:val="24"/>
                <w:szCs w:val="24"/>
                <w:lang w:val="en-US" w:eastAsia="zh-CN"/>
              </w:rPr>
              <w:t>11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04日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4.5</w:t>
            </w:r>
            <w:r>
              <w:rPr>
                <w:rFonts w:hint="eastAsia" w:ascii="华文仿宋" w:hAnsi="华文仿宋" w:eastAsia="华文仿宋" w:cs="华文仿宋"/>
                <w:bCs/>
                <w:kern w:val="0"/>
                <w:sz w:val="24"/>
                <w:szCs w:val="24"/>
              </w:rPr>
              <w:t>%(年化)，业绩表现随</w:t>
            </w:r>
            <w:r>
              <w:rPr>
                <w:rFonts w:hint="eastAsia" w:ascii="华文仿宋" w:hAnsi="华文仿宋" w:eastAsia="华文仿宋" w:cs="华文仿宋"/>
                <w:bCs/>
                <w:kern w:val="0"/>
                <w:sz w:val="24"/>
                <w:szCs w:val="24"/>
                <w:lang w:eastAsia="zh-CN"/>
              </w:rPr>
              <w:t>投资标的物及投资组合的波动而波动</w:t>
            </w:r>
            <w:r>
              <w:rPr>
                <w:rFonts w:hint="eastAsia" w:ascii="华文仿宋" w:hAnsi="华文仿宋" w:eastAsia="华文仿宋" w:cs="华文仿宋"/>
                <w:bCs/>
                <w:kern w:val="0"/>
                <w:sz w:val="24"/>
                <w:szCs w:val="24"/>
              </w:rPr>
              <w:t>，具有不确定性，该业绩比较基准仅作为计算浮动管理费的依据，不构成新疆银行对产品实际投资收益率的承诺或担保，客户的实际收益由产品净值决定。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，若投资收益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，则超出</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均作为</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浮动管理费收取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4.对于理财产品费用的费率，</w:t>
            </w:r>
            <w:r>
              <w:rPr>
                <w:rFonts w:hint="eastAsia" w:ascii="华文仿宋" w:hAnsi="华文仿宋" w:eastAsia="华文仿宋" w:cs="华文仿宋"/>
                <w:bCs/>
                <w:color w:val="000000"/>
                <w:kern w:val="0"/>
                <w:sz w:val="24"/>
                <w:szCs w:val="24"/>
                <w:lang w:eastAsia="zh-CN"/>
              </w:rPr>
              <w:t>本产品存续期内，</w:t>
            </w:r>
            <w:r>
              <w:rPr>
                <w:rFonts w:hint="eastAsia" w:ascii="华文仿宋" w:hAnsi="华文仿宋" w:eastAsia="华文仿宋" w:cs="华文仿宋"/>
                <w:bCs/>
                <w:color w:val="000000"/>
                <w:kern w:val="0"/>
                <w:sz w:val="24"/>
                <w:szCs w:val="24"/>
              </w:rPr>
              <w:t>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w:t>
            </w:r>
            <w:r>
              <w:rPr>
                <w:rFonts w:hint="eastAsia" w:ascii="华文仿宋" w:hAnsi="华文仿宋" w:eastAsia="华文仿宋" w:cs="华文仿宋"/>
                <w:bCs/>
                <w:kern w:val="0"/>
                <w:sz w:val="24"/>
                <w:szCs w:val="24"/>
                <w:lang w:eastAsia="zh-CN"/>
              </w:rPr>
              <w:t>网站</w:t>
            </w:r>
            <w:r>
              <w:rPr>
                <w:rFonts w:hint="eastAsia" w:ascii="华文仿宋" w:hAnsi="华文仿宋" w:eastAsia="华文仿宋" w:cs="华文仿宋"/>
                <w:kern w:val="0"/>
                <w:sz w:val="24"/>
                <w:szCs w:val="24"/>
              </w:rPr>
              <w:t>（www.xjbank.com）</w:t>
            </w:r>
            <w:r>
              <w:rPr>
                <w:rFonts w:hint="eastAsia" w:ascii="华文仿宋" w:hAnsi="华文仿宋" w:eastAsia="华文仿宋" w:cs="华文仿宋"/>
                <w:bCs/>
                <w:kern w:val="0"/>
                <w:sz w:val="24"/>
                <w:szCs w:val="24"/>
              </w:rPr>
              <w:t>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highlight w:val="none"/>
              </w:rPr>
              <w:t>本理财</w:t>
            </w:r>
            <w:r>
              <w:rPr>
                <w:rFonts w:hint="eastAsia" w:ascii="华文仿宋" w:hAnsi="华文仿宋" w:eastAsia="华文仿宋" w:cs="华文仿宋"/>
                <w:kern w:val="0"/>
                <w:sz w:val="24"/>
                <w:szCs w:val="24"/>
                <w:highlight w:val="none"/>
                <w:lang w:eastAsia="zh-CN"/>
              </w:rPr>
              <w:t>只能通过我行营业网点进行</w:t>
            </w:r>
            <w:r>
              <w:rPr>
                <w:rFonts w:hint="eastAsia" w:ascii="华文仿宋" w:hAnsi="华文仿宋" w:eastAsia="华文仿宋" w:cs="华文仿宋"/>
                <w:kern w:val="0"/>
                <w:sz w:val="24"/>
                <w:szCs w:val="24"/>
                <w:highlight w:val="none"/>
              </w:rPr>
              <w:t>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lang w:eastAsia="zh-CN"/>
              </w:rPr>
              <w:t>宁波银行股份有限公司</w:t>
            </w:r>
          </w:p>
        </w:tc>
      </w:tr>
    </w:tbl>
    <w:p>
      <w:pPr>
        <w:spacing w:line="380" w:lineRule="exact"/>
        <w:ind w:firstLine="480" w:firstLineChars="200"/>
        <w:jc w:val="left"/>
        <w:rPr>
          <w:rFonts w:hint="eastAsia" w:ascii="华文仿宋" w:hAnsi="华文仿宋" w:eastAsia="华文仿宋" w:cs="华文仿宋"/>
          <w:kern w:val="0"/>
          <w:sz w:val="24"/>
          <w:szCs w:val="24"/>
          <w:highlight w:val="none"/>
        </w:rPr>
      </w:pPr>
      <w:r>
        <w:rPr>
          <w:rStyle w:val="10"/>
          <w:rFonts w:hint="eastAsia" w:ascii="华文仿宋" w:hAnsi="华文仿宋" w:eastAsia="华文仿宋" w:cs="华文仿宋"/>
          <w:kern w:val="0"/>
          <w:sz w:val="24"/>
          <w:szCs w:val="24"/>
        </w:rPr>
        <w:t>二、投资范围</w:t>
      </w:r>
    </w:p>
    <w:p>
      <w:pPr>
        <w:keepNext w:val="0"/>
        <w:keepLines w:val="0"/>
        <w:pageBreakBefore w:val="0"/>
        <w:numPr>
          <w:ilvl w:val="0"/>
          <w:numId w:val="0"/>
        </w:numPr>
        <w:kinsoku/>
        <w:overflowPunct/>
        <w:topLinePunct w:val="0"/>
        <w:autoSpaceDE/>
        <w:autoSpaceDN/>
        <w:bidi w:val="0"/>
        <w:adjustRightInd/>
        <w:snapToGrid/>
        <w:spacing w:line="380" w:lineRule="exact"/>
        <w:ind w:firstLine="240" w:firstLineChars="100"/>
        <w:jc w:val="both"/>
        <w:textAlignment w:val="auto"/>
        <w:rPr>
          <w:rFonts w:hint="eastAsia" w:ascii="华文仿宋" w:hAnsi="华文仿宋" w:eastAsia="华文仿宋" w:cs="华文仿宋"/>
          <w:kern w:val="0"/>
          <w:sz w:val="24"/>
          <w:szCs w:val="24"/>
          <w:highlight w:val="none"/>
          <w:lang w:val="en-US" w:eastAsia="zh-CN"/>
        </w:rPr>
      </w:pPr>
      <w:r>
        <w:rPr>
          <w:rFonts w:hint="eastAsia" w:ascii="华文仿宋" w:hAnsi="华文仿宋" w:eastAsia="华文仿宋" w:cs="华文仿宋"/>
          <w:b/>
          <w:bCs/>
          <w:kern w:val="0"/>
          <w:sz w:val="24"/>
          <w:szCs w:val="24"/>
          <w:lang w:val="en-US" w:eastAsia="zh-CN"/>
        </w:rPr>
        <w:t>（一）</w:t>
      </w:r>
      <w:r>
        <w:rPr>
          <w:rFonts w:hint="eastAsia" w:ascii="华文仿宋" w:hAnsi="华文仿宋" w:eastAsia="华文仿宋" w:cs="华文仿宋"/>
          <w:kern w:val="0"/>
          <w:sz w:val="24"/>
          <w:szCs w:val="24"/>
          <w:highlight w:val="none"/>
          <w:lang w:val="en-US" w:eastAsia="zh-CN"/>
        </w:rPr>
        <w:t>流动性较高的现金类资产、货币市场工具。</w:t>
      </w:r>
    </w:p>
    <w:p>
      <w:pPr>
        <w:keepNext w:val="0"/>
        <w:keepLines w:val="0"/>
        <w:pageBreakBefore w:val="0"/>
        <w:numPr>
          <w:ilvl w:val="0"/>
          <w:numId w:val="0"/>
        </w:numPr>
        <w:kinsoku/>
        <w:overflowPunct/>
        <w:topLinePunct w:val="0"/>
        <w:autoSpaceDE/>
        <w:autoSpaceDN/>
        <w:bidi w:val="0"/>
        <w:adjustRightInd/>
        <w:snapToGrid/>
        <w:spacing w:line="380" w:lineRule="exact"/>
        <w:ind w:firstLine="240" w:firstLineChars="100"/>
        <w:jc w:val="both"/>
        <w:textAlignment w:val="auto"/>
        <w:rPr>
          <w:rFonts w:hint="eastAsia" w:ascii="华文仿宋" w:hAnsi="华文仿宋" w:eastAsia="华文仿宋" w:cs="华文仿宋"/>
          <w:kern w:val="0"/>
          <w:sz w:val="24"/>
          <w:szCs w:val="24"/>
          <w:highlight w:val="yellow"/>
          <w:lang w:val="en-US" w:eastAsia="zh-CN"/>
        </w:rPr>
      </w:pPr>
      <w:r>
        <w:rPr>
          <w:rFonts w:hint="eastAsia" w:ascii="华文仿宋" w:hAnsi="华文仿宋" w:eastAsia="华文仿宋" w:cs="华文仿宋"/>
          <w:b/>
          <w:bCs/>
          <w:kern w:val="0"/>
          <w:sz w:val="24"/>
          <w:szCs w:val="24"/>
          <w:highlight w:val="none"/>
          <w:lang w:val="en-US" w:eastAsia="zh-CN"/>
        </w:rPr>
        <w:t>（二）</w:t>
      </w:r>
      <w:r>
        <w:rPr>
          <w:rFonts w:hint="eastAsia" w:ascii="华文仿宋" w:hAnsi="华文仿宋" w:eastAsia="华文仿宋" w:cs="华文仿宋"/>
          <w:kern w:val="0"/>
          <w:sz w:val="24"/>
          <w:szCs w:val="24"/>
          <w:highlight w:val="none"/>
          <w:lang w:val="en-US" w:eastAsia="zh-CN"/>
        </w:rPr>
        <w:t>主要投资于符合国家监管要求和我行准入及投资要求的公司债、企业债。</w:t>
      </w:r>
    </w:p>
    <w:p>
      <w:pPr>
        <w:keepNext w:val="0"/>
        <w:keepLines w:val="0"/>
        <w:pageBreakBefore w:val="0"/>
        <w:numPr>
          <w:ilvl w:val="0"/>
          <w:numId w:val="0"/>
        </w:numPr>
        <w:kinsoku/>
        <w:overflowPunct/>
        <w:topLinePunct w:val="0"/>
        <w:autoSpaceDE/>
        <w:autoSpaceDN/>
        <w:bidi w:val="0"/>
        <w:adjustRightInd/>
        <w:snapToGrid/>
        <w:spacing w:line="380" w:lineRule="exact"/>
        <w:ind w:firstLine="480" w:firstLineChars="200"/>
        <w:jc w:val="both"/>
        <w:textAlignment w:val="auto"/>
        <w:rPr>
          <w:rFonts w:ascii="华文仿宋" w:hAnsi="华文仿宋" w:eastAsia="华文仿宋" w:cs="华文仿宋"/>
          <w:b/>
          <w:bCs/>
          <w:kern w:val="0"/>
          <w:sz w:val="24"/>
          <w:szCs w:val="24"/>
        </w:rPr>
      </w:pPr>
      <w:r>
        <w:rPr>
          <w:rFonts w:hint="eastAsia" w:ascii="华文仿宋" w:hAnsi="华文仿宋" w:eastAsia="华文仿宋" w:cs="华文仿宋"/>
          <w:kern w:val="0"/>
          <w:sz w:val="24"/>
          <w:szCs w:val="24"/>
          <w:highlight w:val="none"/>
          <w:lang w:val="en-US" w:eastAsia="zh-CN"/>
        </w:rPr>
        <w:t>新疆银行秉承价值投资的理念，通过资产组合管理实现本产品安全性、流动性与收益性的平衡。</w:t>
      </w:r>
      <w:r>
        <w:rPr>
          <w:rFonts w:hint="default" w:ascii="华文仿宋" w:hAnsi="华文仿宋" w:eastAsia="华文仿宋" w:cs="华文仿宋"/>
          <w:kern w:val="0"/>
          <w:sz w:val="24"/>
          <w:szCs w:val="24"/>
          <w:highlight w:val="none"/>
          <w:lang w:val="en-US" w:eastAsia="zh-CN"/>
        </w:rPr>
        <w:t xml:space="preserve"> </w:t>
      </w:r>
    </w:p>
    <w:p>
      <w:pPr>
        <w:keepNext w:val="0"/>
        <w:keepLines w:val="0"/>
        <w:pageBreakBefore w:val="0"/>
        <w:numPr>
          <w:ilvl w:val="0"/>
          <w:numId w:val="0"/>
        </w:numPr>
        <w:kinsoku/>
        <w:overflowPunct/>
        <w:topLinePunct w:val="0"/>
        <w:autoSpaceDE/>
        <w:autoSpaceDN/>
        <w:bidi w:val="0"/>
        <w:adjustRightInd/>
        <w:snapToGrid/>
        <w:spacing w:line="380" w:lineRule="exact"/>
        <w:ind w:firstLine="480" w:firstLineChars="200"/>
        <w:jc w:val="both"/>
        <w:textAlignment w:val="auto"/>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lang w:eastAsia="zh-CN"/>
        </w:rPr>
        <w:t>三、</w:t>
      </w:r>
      <w:r>
        <w:rPr>
          <w:rFonts w:hint="eastAsia" w:ascii="华文仿宋" w:hAnsi="华文仿宋" w:eastAsia="华文仿宋" w:cs="华文仿宋"/>
          <w:b/>
          <w:bCs/>
          <w:kern w:val="0"/>
          <w:sz w:val="24"/>
          <w:szCs w:val="24"/>
        </w:rPr>
        <w:t>产品的估值</w:t>
      </w:r>
    </w:p>
    <w:p>
      <w:pPr>
        <w:keepNext w:val="0"/>
        <w:keepLines w:val="0"/>
        <w:pageBreakBefore w:val="0"/>
        <w:kinsoku/>
        <w:overflowPunct/>
        <w:topLinePunct w:val="0"/>
        <w:autoSpaceDE/>
        <w:autoSpaceDN/>
        <w:bidi w:val="0"/>
        <w:adjustRightInd/>
        <w:snapToGrid/>
        <w:spacing w:line="380" w:lineRule="exact"/>
        <w:ind w:firstLine="240" w:firstLineChars="100"/>
        <w:jc w:val="both"/>
        <w:textAlignment w:val="auto"/>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（一）估值日</w:t>
      </w:r>
    </w:p>
    <w:p>
      <w:pPr>
        <w:keepNext w:val="0"/>
        <w:keepLines w:val="0"/>
        <w:pageBreakBefore w:val="0"/>
        <w:kinsoku/>
        <w:overflowPunct/>
        <w:topLinePunct w:val="0"/>
        <w:autoSpaceDE/>
        <w:autoSpaceDN/>
        <w:bidi w:val="0"/>
        <w:adjustRightInd/>
        <w:snapToGrid/>
        <w:spacing w:line="380" w:lineRule="exact"/>
        <w:ind w:firstLine="240" w:firstLineChars="100"/>
        <w:jc w:val="both"/>
        <w:textAlignment w:val="auto"/>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本理财产品估值日为存续期间除了周六、周日和中国法定假日的工作日。</w:t>
      </w:r>
    </w:p>
    <w:p>
      <w:pPr>
        <w:keepNext w:val="0"/>
        <w:keepLines w:val="0"/>
        <w:pageBreakBefore w:val="0"/>
        <w:kinsoku/>
        <w:overflowPunct/>
        <w:topLinePunct w:val="0"/>
        <w:autoSpaceDE/>
        <w:autoSpaceDN/>
        <w:bidi w:val="0"/>
        <w:adjustRightInd/>
        <w:snapToGrid/>
        <w:spacing w:line="380" w:lineRule="exact"/>
        <w:ind w:firstLine="240" w:firstLineChars="100"/>
        <w:jc w:val="both"/>
        <w:textAlignment w:val="auto"/>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（二）估值对象</w:t>
      </w:r>
    </w:p>
    <w:p>
      <w:pPr>
        <w:keepNext w:val="0"/>
        <w:keepLines w:val="0"/>
        <w:pageBreakBefore w:val="0"/>
        <w:kinsoku/>
        <w:overflowPunct/>
        <w:topLinePunct w:val="0"/>
        <w:autoSpaceDE/>
        <w:autoSpaceDN/>
        <w:bidi w:val="0"/>
        <w:adjustRightInd/>
        <w:snapToGrid/>
        <w:spacing w:line="380" w:lineRule="exact"/>
        <w:ind w:firstLine="240" w:firstLineChars="100"/>
        <w:jc w:val="both"/>
        <w:textAlignment w:val="auto"/>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keepNext w:val="0"/>
        <w:keepLines w:val="0"/>
        <w:pageBreakBefore w:val="0"/>
        <w:kinsoku/>
        <w:overflowPunct/>
        <w:topLinePunct w:val="0"/>
        <w:autoSpaceDE/>
        <w:autoSpaceDN/>
        <w:bidi w:val="0"/>
        <w:adjustRightInd/>
        <w:snapToGrid/>
        <w:spacing w:line="380" w:lineRule="exact"/>
        <w:ind w:firstLine="240" w:firstLineChars="100"/>
        <w:jc w:val="both"/>
        <w:textAlignment w:val="auto"/>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（三）估值方法</w:t>
      </w:r>
    </w:p>
    <w:p>
      <w:pPr>
        <w:keepNext w:val="0"/>
        <w:keepLines w:val="0"/>
        <w:pageBreakBefore w:val="0"/>
        <w:numPr>
          <w:ilvl w:val="0"/>
          <w:numId w:val="0"/>
        </w:numPr>
        <w:kinsoku/>
        <w:overflowPunct/>
        <w:topLinePunct w:val="0"/>
        <w:autoSpaceDE/>
        <w:autoSpaceDN/>
        <w:bidi w:val="0"/>
        <w:adjustRightInd/>
        <w:snapToGrid/>
        <w:spacing w:line="380" w:lineRule="exact"/>
        <w:ind w:firstLine="480" w:firstLineChars="200"/>
        <w:jc w:val="both"/>
        <w:textAlignment w:val="auto"/>
        <w:rPr>
          <w:rFonts w:hint="eastAsia" w:ascii="华文仿宋" w:hAnsi="华文仿宋" w:eastAsia="华文仿宋" w:cs="华文仿宋"/>
          <w:kern w:val="0"/>
          <w:sz w:val="24"/>
          <w:szCs w:val="24"/>
          <w:highlight w:val="none"/>
          <w:lang w:val="en-US" w:eastAsia="zh-CN"/>
        </w:rPr>
      </w:pPr>
      <w:r>
        <w:rPr>
          <w:rFonts w:hint="eastAsia" w:ascii="华文仿宋" w:hAnsi="华文仿宋" w:eastAsia="华文仿宋" w:cs="华文仿宋"/>
          <w:kern w:val="0"/>
          <w:sz w:val="24"/>
          <w:szCs w:val="24"/>
          <w:highlight w:val="none"/>
          <w:lang w:val="en-US" w:eastAsia="zh-CN"/>
        </w:rPr>
        <w:t>1.本期产品主要投资于交易所发行的不活跃公司债券，以收取合同现金流量为目的并持有至到期，按照监管规定及会计准则，使用摊余成本法估值。</w:t>
      </w:r>
    </w:p>
    <w:p>
      <w:pPr>
        <w:keepNext w:val="0"/>
        <w:keepLines w:val="0"/>
        <w:pageBreakBefore w:val="0"/>
        <w:numPr>
          <w:ilvl w:val="0"/>
          <w:numId w:val="0"/>
        </w:numPr>
        <w:kinsoku/>
        <w:overflowPunct/>
        <w:topLinePunct w:val="0"/>
        <w:autoSpaceDE/>
        <w:autoSpaceDN/>
        <w:bidi w:val="0"/>
        <w:adjustRightInd/>
        <w:snapToGrid/>
        <w:spacing w:line="380" w:lineRule="exact"/>
        <w:ind w:firstLine="480" w:firstLineChars="200"/>
        <w:jc w:val="both"/>
        <w:textAlignment w:val="auto"/>
        <w:rPr>
          <w:rFonts w:hint="eastAsia" w:ascii="华文仿宋" w:hAnsi="华文仿宋" w:eastAsia="华文仿宋" w:cs="华文仿宋"/>
          <w:kern w:val="0"/>
          <w:sz w:val="24"/>
          <w:szCs w:val="24"/>
          <w:highlight w:val="none"/>
          <w:lang w:val="en-US" w:eastAsia="zh-CN"/>
        </w:rPr>
      </w:pPr>
      <w:r>
        <w:rPr>
          <w:rFonts w:hint="default" w:ascii="华文仿宋" w:hAnsi="华文仿宋" w:eastAsia="华文仿宋" w:cs="华文仿宋"/>
          <w:kern w:val="0"/>
          <w:sz w:val="24"/>
          <w:szCs w:val="24"/>
          <w:highlight w:val="none"/>
          <w:lang w:val="en-US" w:eastAsia="zh-CN"/>
        </w:rPr>
        <w:t>2</w:t>
      </w:r>
      <w:r>
        <w:rPr>
          <w:rFonts w:hint="eastAsia" w:ascii="华文仿宋" w:hAnsi="华文仿宋" w:eastAsia="华文仿宋" w:cs="华文仿宋"/>
          <w:kern w:val="0"/>
          <w:sz w:val="24"/>
          <w:szCs w:val="24"/>
          <w:highlight w:val="none"/>
          <w:lang w:val="en-US" w:eastAsia="zh-CN"/>
        </w:rPr>
        <w:t>.</w:t>
      </w:r>
      <w:r>
        <w:rPr>
          <w:rFonts w:hint="default" w:ascii="华文仿宋" w:hAnsi="华文仿宋" w:eastAsia="华文仿宋" w:cs="华文仿宋"/>
          <w:kern w:val="0"/>
          <w:sz w:val="24"/>
          <w:szCs w:val="24"/>
          <w:highlight w:val="none"/>
          <w:lang w:val="en-US" w:eastAsia="zh-CN"/>
        </w:rPr>
        <w:t>其他在</w:t>
      </w:r>
      <w:r>
        <w:rPr>
          <w:rFonts w:hint="eastAsia" w:ascii="华文仿宋" w:hAnsi="华文仿宋" w:eastAsia="华文仿宋" w:cs="华文仿宋"/>
          <w:kern w:val="0"/>
          <w:sz w:val="24"/>
          <w:szCs w:val="24"/>
          <w:highlight w:val="none"/>
          <w:lang w:val="en-US" w:eastAsia="zh-CN"/>
        </w:rPr>
        <w:t>交易所、银行间市场交易的债券</w:t>
      </w:r>
      <w:r>
        <w:rPr>
          <w:rFonts w:hint="default" w:ascii="华文仿宋" w:hAnsi="华文仿宋" w:eastAsia="华文仿宋" w:cs="华文仿宋"/>
          <w:kern w:val="0"/>
          <w:sz w:val="24"/>
          <w:szCs w:val="24"/>
          <w:highlight w:val="none"/>
          <w:lang w:val="en-US" w:eastAsia="zh-CN"/>
        </w:rPr>
        <w:t>等</w:t>
      </w:r>
      <w:r>
        <w:rPr>
          <w:rFonts w:hint="eastAsia" w:ascii="华文仿宋" w:hAnsi="华文仿宋" w:eastAsia="华文仿宋" w:cs="华文仿宋"/>
          <w:kern w:val="0"/>
          <w:sz w:val="24"/>
          <w:szCs w:val="24"/>
          <w:highlight w:val="none"/>
          <w:lang w:val="en-US" w:eastAsia="zh-CN"/>
        </w:rPr>
        <w:t>固定收益类资产，原则上按市价法估值；对以收取合同现金流量为目的并持有至到期的资产，在满足监管要求及会计准则的情况下，可使用摊余成本法估值。</w:t>
      </w:r>
      <w:r>
        <w:rPr>
          <w:rFonts w:hint="default" w:ascii="华文仿宋" w:hAnsi="华文仿宋" w:eastAsia="华文仿宋" w:cs="华文仿宋"/>
          <w:kern w:val="0"/>
          <w:sz w:val="24"/>
          <w:szCs w:val="24"/>
          <w:highlight w:val="none"/>
          <w:lang w:val="en-US" w:eastAsia="zh-CN"/>
        </w:rPr>
        <w:t xml:space="preserve"> </w:t>
      </w:r>
    </w:p>
    <w:p>
      <w:pPr>
        <w:keepNext w:val="0"/>
        <w:keepLines w:val="0"/>
        <w:pageBreakBefore w:val="0"/>
        <w:numPr>
          <w:ilvl w:val="0"/>
          <w:numId w:val="0"/>
        </w:numPr>
        <w:kinsoku/>
        <w:overflowPunct/>
        <w:topLinePunct w:val="0"/>
        <w:autoSpaceDE/>
        <w:autoSpaceDN/>
        <w:bidi w:val="0"/>
        <w:adjustRightInd/>
        <w:snapToGrid/>
        <w:spacing w:line="380" w:lineRule="exact"/>
        <w:ind w:firstLine="480" w:firstLineChars="200"/>
        <w:jc w:val="both"/>
        <w:textAlignment w:val="auto"/>
        <w:rPr>
          <w:rFonts w:hint="eastAsia" w:ascii="华文仿宋" w:hAnsi="华文仿宋" w:eastAsia="华文仿宋" w:cs="华文仿宋"/>
          <w:kern w:val="0"/>
          <w:sz w:val="24"/>
          <w:szCs w:val="24"/>
          <w:highlight w:val="none"/>
          <w:lang w:val="en-US" w:eastAsia="zh-CN"/>
        </w:rPr>
      </w:pPr>
      <w:r>
        <w:rPr>
          <w:rFonts w:hint="default" w:ascii="华文仿宋" w:hAnsi="华文仿宋" w:eastAsia="华文仿宋" w:cs="华文仿宋"/>
          <w:kern w:val="0"/>
          <w:sz w:val="24"/>
          <w:szCs w:val="24"/>
          <w:highlight w:val="none"/>
          <w:lang w:val="en-US" w:eastAsia="zh-CN"/>
        </w:rPr>
        <w:t>3</w:t>
      </w:r>
      <w:r>
        <w:rPr>
          <w:rFonts w:hint="eastAsia" w:ascii="华文仿宋" w:hAnsi="华文仿宋" w:eastAsia="华文仿宋" w:cs="华文仿宋"/>
          <w:kern w:val="0"/>
          <w:sz w:val="24"/>
          <w:szCs w:val="24"/>
          <w:highlight w:val="none"/>
          <w:lang w:val="en-US" w:eastAsia="zh-CN"/>
        </w:rPr>
        <w:t>.</w:t>
      </w:r>
      <w:r>
        <w:rPr>
          <w:rFonts w:hint="default" w:ascii="华文仿宋" w:hAnsi="华文仿宋" w:eastAsia="华文仿宋" w:cs="华文仿宋"/>
          <w:kern w:val="0"/>
          <w:sz w:val="24"/>
          <w:szCs w:val="24"/>
          <w:highlight w:val="none"/>
          <w:lang w:val="en-US" w:eastAsia="zh-CN"/>
        </w:rPr>
        <w:t xml:space="preserve">存款、回购等现金类资产按成本估值，逐日计提利息。 </w:t>
      </w:r>
    </w:p>
    <w:p>
      <w:pPr>
        <w:keepNext w:val="0"/>
        <w:keepLines w:val="0"/>
        <w:pageBreakBefore w:val="0"/>
        <w:numPr>
          <w:ilvl w:val="0"/>
          <w:numId w:val="0"/>
        </w:numPr>
        <w:kinsoku/>
        <w:overflowPunct/>
        <w:topLinePunct w:val="0"/>
        <w:autoSpaceDE/>
        <w:autoSpaceDN/>
        <w:bidi w:val="0"/>
        <w:adjustRightInd/>
        <w:snapToGrid/>
        <w:spacing w:line="380" w:lineRule="exact"/>
        <w:ind w:firstLine="480" w:firstLineChars="200"/>
        <w:jc w:val="both"/>
        <w:textAlignment w:val="auto"/>
        <w:rPr>
          <w:rFonts w:ascii="华文仿宋" w:hAnsi="华文仿宋" w:eastAsia="华文仿宋" w:cs="华文仿宋"/>
          <w:kern w:val="0"/>
          <w:sz w:val="24"/>
          <w:szCs w:val="24"/>
          <w:highlight w:val="none"/>
        </w:rPr>
      </w:pPr>
      <w:r>
        <w:rPr>
          <w:rFonts w:hint="eastAsia" w:ascii="华文仿宋" w:hAnsi="华文仿宋" w:eastAsia="华文仿宋" w:cs="华文仿宋"/>
          <w:kern w:val="0"/>
          <w:sz w:val="24"/>
          <w:szCs w:val="24"/>
          <w:highlight w:val="none"/>
          <w:lang w:val="en-US" w:eastAsia="zh-CN"/>
        </w:rPr>
        <w:t>4.货币基金以基金管理人公布的最新净值估值。</w:t>
      </w:r>
      <w:r>
        <w:rPr>
          <w:rFonts w:hint="default" w:ascii="华文仿宋" w:hAnsi="华文仿宋" w:eastAsia="华文仿宋" w:cs="华文仿宋"/>
          <w:kern w:val="0"/>
          <w:sz w:val="24"/>
          <w:szCs w:val="24"/>
          <w:highlight w:val="none"/>
          <w:lang w:val="en-US" w:eastAsia="zh-CN"/>
        </w:rPr>
        <w:t xml:space="preserve"> </w:t>
      </w:r>
    </w:p>
    <w:p>
      <w:pPr>
        <w:keepNext w:val="0"/>
        <w:keepLines w:val="0"/>
        <w:pageBreakBefore w:val="0"/>
        <w:kinsoku/>
        <w:overflowPunct/>
        <w:topLinePunct w:val="0"/>
        <w:autoSpaceDE/>
        <w:autoSpaceDN/>
        <w:bidi w:val="0"/>
        <w:adjustRightInd/>
        <w:snapToGrid/>
        <w:spacing w:line="380" w:lineRule="exact"/>
        <w:ind w:firstLine="240" w:firstLineChars="100"/>
        <w:jc w:val="both"/>
        <w:textAlignment w:val="auto"/>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（四）暂停估值</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当产品资产的估值因不可抗力或其他情形致使产品管理人、产品托管人无法准确评估产品资产价值或监管部门认定的其他情形时，理财产品管理人可暂停产品的估值直至另行通知。</w:t>
      </w:r>
    </w:p>
    <w:p>
      <w:pPr>
        <w:keepNext w:val="0"/>
        <w:keepLines w:val="0"/>
        <w:pageBreakBefore w:val="0"/>
        <w:kinsoku/>
        <w:overflowPunct/>
        <w:topLinePunct w:val="0"/>
        <w:autoSpaceDE/>
        <w:autoSpaceDN/>
        <w:bidi w:val="0"/>
        <w:adjustRightInd/>
        <w:snapToGrid/>
        <w:spacing w:line="380" w:lineRule="exact"/>
        <w:ind w:firstLine="240" w:firstLineChars="100"/>
        <w:jc w:val="both"/>
        <w:textAlignment w:val="auto"/>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lang w:eastAsia="zh-CN"/>
        </w:rPr>
        <w:t>（五）</w:t>
      </w:r>
      <w:r>
        <w:rPr>
          <w:rFonts w:hint="eastAsia" w:ascii="华文仿宋" w:hAnsi="华文仿宋" w:eastAsia="华文仿宋" w:cs="华文仿宋"/>
          <w:b/>
          <w:bCs/>
          <w:kern w:val="0"/>
          <w:sz w:val="24"/>
          <w:szCs w:val="24"/>
        </w:rPr>
        <w:t>产品单位净值及份额的计算</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产品资产净值是指理财产品资产总额减去负债总额后的价值。</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本理财产品单位净值=理财产品总资产净值/理财产品总份额</w:t>
      </w:r>
      <w:r>
        <w:rPr>
          <w:rFonts w:hint="eastAsia" w:ascii="华文仿宋" w:hAnsi="华文仿宋" w:eastAsia="华文仿宋" w:cs="华文仿宋"/>
          <w:kern w:val="0"/>
          <w:sz w:val="24"/>
          <w:szCs w:val="24"/>
          <w:lang w:eastAsia="zh-CN"/>
        </w:rPr>
        <w:t>，理财产品单位净值小数点六位后四舍五入。</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认购份额=认购金额/1元，认购份额保留至0.01份理财产品份额，小数点</w:t>
      </w:r>
      <w:r>
        <w:rPr>
          <w:rFonts w:hint="eastAsia" w:ascii="华文仿宋" w:hAnsi="华文仿宋" w:eastAsia="华文仿宋" w:cs="华文仿宋"/>
          <w:kern w:val="0"/>
          <w:sz w:val="24"/>
          <w:szCs w:val="24"/>
          <w:lang w:eastAsia="zh-CN"/>
        </w:rPr>
        <w:t>两位后</w:t>
      </w:r>
      <w:r>
        <w:rPr>
          <w:rFonts w:hint="eastAsia" w:ascii="华文仿宋" w:hAnsi="华文仿宋" w:eastAsia="华文仿宋" w:cs="华文仿宋"/>
          <w:kern w:val="0"/>
          <w:sz w:val="24"/>
          <w:szCs w:val="24"/>
        </w:rPr>
        <w:t>四舍五入。</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ascii="华文仿宋" w:hAnsi="华文仿宋" w:eastAsia="华文仿宋" w:cs="华文仿宋"/>
          <w:b/>
          <w:bCs/>
          <w:sz w:val="24"/>
          <w:szCs w:val="24"/>
        </w:rPr>
      </w:pPr>
      <w:r>
        <w:rPr>
          <w:rFonts w:hint="eastAsia" w:ascii="华文仿宋" w:hAnsi="华文仿宋" w:eastAsia="华文仿宋" w:cs="华文仿宋"/>
          <w:b/>
          <w:bCs/>
          <w:sz w:val="24"/>
          <w:szCs w:val="24"/>
          <w:lang w:eastAsia="zh-CN"/>
        </w:rPr>
        <w:t>四</w:t>
      </w:r>
      <w:r>
        <w:rPr>
          <w:rFonts w:hint="eastAsia" w:ascii="华文仿宋" w:hAnsi="华文仿宋" w:eastAsia="华文仿宋" w:cs="华文仿宋"/>
          <w:b/>
          <w:bCs/>
          <w:sz w:val="24"/>
          <w:szCs w:val="24"/>
        </w:rPr>
        <w:t>、理财产品费用及收益</w:t>
      </w:r>
    </w:p>
    <w:p>
      <w:pPr>
        <w:keepNext w:val="0"/>
        <w:keepLines w:val="0"/>
        <w:pageBreakBefore w:val="0"/>
        <w:widowControl w:val="0"/>
        <w:kinsoku/>
        <w:wordWrap w:val="0"/>
        <w:overflowPunct/>
        <w:topLinePunct w:val="0"/>
        <w:autoSpaceDE/>
        <w:autoSpaceDN/>
        <w:bidi w:val="0"/>
        <w:adjustRightInd/>
        <w:snapToGrid/>
        <w:spacing w:before="75" w:after="75" w:line="380" w:lineRule="exact"/>
        <w:ind w:left="239" w:leftChars="114" w:firstLine="240" w:firstLineChars="100"/>
        <w:jc w:val="both"/>
        <w:textAlignment w:val="auto"/>
        <w:rPr>
          <w:rFonts w:hint="eastAsia" w:ascii="华文仿宋" w:hAnsi="华文仿宋" w:eastAsia="华文仿宋" w:cs="华文仿宋"/>
          <w:bCs/>
          <w:kern w:val="0"/>
          <w:sz w:val="24"/>
          <w:szCs w:val="24"/>
          <w:highlight w:val="yellow"/>
        </w:rPr>
      </w:pPr>
      <w:r>
        <w:rPr>
          <w:rFonts w:hint="eastAsia" w:ascii="华文仿宋" w:hAnsi="华文仿宋" w:eastAsia="华文仿宋" w:cs="华文仿宋"/>
          <w:kern w:val="0"/>
          <w:sz w:val="24"/>
          <w:szCs w:val="24"/>
        </w:rPr>
        <w:t>1.声明</w:t>
      </w:r>
      <w:r>
        <w:rPr>
          <w:rStyle w:val="14"/>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4"/>
          <w:rFonts w:hint="default" w:ascii="华文仿宋" w:hAnsi="华文仿宋" w:eastAsia="华文仿宋" w:cs="华文仿宋"/>
          <w:sz w:val="24"/>
          <w:szCs w:val="24"/>
        </w:rPr>
        <w:br w:type="textWrapping"/>
      </w:r>
      <w:r>
        <w:rPr>
          <w:rStyle w:val="15"/>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p>
    <w:p>
      <w:pPr>
        <w:keepNext w:val="0"/>
        <w:keepLines w:val="0"/>
        <w:pageBreakBefore w:val="0"/>
        <w:kinsoku/>
        <w:wordWrap w:val="0"/>
        <w:overflowPunct/>
        <w:topLinePunct w:val="0"/>
        <w:autoSpaceDE/>
        <w:autoSpaceDN/>
        <w:bidi w:val="0"/>
        <w:adjustRightInd/>
        <w:snapToGrid/>
        <w:spacing w:before="75" w:after="75" w:line="380" w:lineRule="exact"/>
        <w:ind w:firstLine="480" w:firstLineChars="200"/>
        <w:jc w:val="both"/>
        <w:textAlignment w:val="auto"/>
      </w:pPr>
      <w:r>
        <w:rPr>
          <w:rFonts w:hint="eastAsia" w:ascii="华文仿宋" w:hAnsi="华文仿宋" w:eastAsia="华文仿宋" w:cs="华文仿宋"/>
          <w:b/>
          <w:kern w:val="0"/>
          <w:sz w:val="24"/>
          <w:szCs w:val="24"/>
        </w:rPr>
        <w:t>情景</w:t>
      </w:r>
      <w:r>
        <w:rPr>
          <w:rFonts w:hint="eastAsia" w:ascii="华文仿宋" w:hAnsi="华文仿宋" w:eastAsia="华文仿宋" w:cs="华文仿宋"/>
          <w:b/>
          <w:kern w:val="0"/>
          <w:sz w:val="24"/>
          <w:szCs w:val="24"/>
          <w:lang w:eastAsia="zh-CN"/>
        </w:rPr>
        <w:t>一</w:t>
      </w:r>
      <w:r>
        <w:rPr>
          <w:rFonts w:hint="eastAsia" w:ascii="华文仿宋" w:hAnsi="华文仿宋" w:eastAsia="华文仿宋" w:cs="华文仿宋"/>
          <w:b/>
          <w:kern w:val="0"/>
          <w:sz w:val="24"/>
          <w:szCs w:val="24"/>
        </w:rPr>
        <w:t>：</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w:t>
      </w:r>
      <w:r>
        <w:rPr>
          <w:rFonts w:hint="eastAsia" w:ascii="华文仿宋" w:hAnsi="华文仿宋" w:eastAsia="华文仿宋" w:cs="华文仿宋"/>
          <w:b/>
          <w:kern w:val="0"/>
          <w:sz w:val="24"/>
          <w:szCs w:val="24"/>
          <w:lang w:eastAsia="zh-CN"/>
        </w:rPr>
        <w:t>二</w:t>
      </w:r>
      <w:r>
        <w:rPr>
          <w:rFonts w:hint="eastAsia" w:ascii="华文仿宋" w:hAnsi="华文仿宋" w:eastAsia="华文仿宋" w:cs="华文仿宋"/>
          <w:b/>
          <w:kern w:val="0"/>
          <w:sz w:val="24"/>
          <w:szCs w:val="24"/>
        </w:rPr>
        <w:t>：</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ascii="华文仿宋" w:hAnsi="华文仿宋" w:eastAsia="华文仿宋" w:cs="华文仿宋"/>
          <w:sz w:val="24"/>
          <w:szCs w:val="24"/>
        </w:rPr>
      </w:pPr>
      <w:r>
        <w:rPr>
          <w:rStyle w:val="10"/>
          <w:rFonts w:hint="eastAsia" w:ascii="华文仿宋" w:hAnsi="华文仿宋" w:eastAsia="华文仿宋" w:cs="华文仿宋"/>
          <w:kern w:val="0"/>
          <w:sz w:val="24"/>
          <w:szCs w:val="24"/>
          <w:lang w:eastAsia="zh-CN"/>
        </w:rPr>
        <w:t>五</w:t>
      </w:r>
      <w:r>
        <w:rPr>
          <w:rStyle w:val="10"/>
          <w:rFonts w:hint="eastAsia" w:ascii="华文仿宋" w:hAnsi="华文仿宋" w:eastAsia="华文仿宋" w:cs="华文仿宋"/>
          <w:kern w:val="0"/>
          <w:sz w:val="24"/>
          <w:szCs w:val="24"/>
        </w:rPr>
        <w:t xml:space="preserve">、产品提前终止 </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w:t>
      </w:r>
      <w:r>
        <w:rPr>
          <w:rFonts w:hint="eastAsia" w:ascii="华文仿宋" w:hAnsi="华文仿宋" w:eastAsia="华文仿宋" w:cs="华文仿宋"/>
          <w:bCs/>
          <w:kern w:val="0"/>
          <w:sz w:val="24"/>
          <w:szCs w:val="24"/>
          <w:lang w:eastAsia="zh-CN"/>
        </w:rPr>
        <w:t>.</w:t>
      </w:r>
      <w:r>
        <w:rPr>
          <w:rFonts w:hint="eastAsia" w:ascii="华文仿宋" w:hAnsi="华文仿宋" w:eastAsia="华文仿宋" w:cs="华文仿宋"/>
          <w:bCs/>
          <w:kern w:val="0"/>
          <w:sz w:val="24"/>
          <w:szCs w:val="24"/>
        </w:rPr>
        <w:t>若在募集期届满之前募集资金已经达到产品募集上限，新疆银行有权提前结束募集并提前成立该理财产品，产品提前成立时</w:t>
      </w:r>
      <w:r>
        <w:rPr>
          <w:rFonts w:hint="eastAsia" w:ascii="华文仿宋" w:hAnsi="华文仿宋" w:eastAsia="华文仿宋" w:cs="华文仿宋"/>
          <w:bCs/>
          <w:kern w:val="0"/>
          <w:sz w:val="24"/>
          <w:szCs w:val="24"/>
          <w:lang w:eastAsia="zh-CN"/>
        </w:rPr>
        <w:t>本行</w:t>
      </w:r>
      <w:r>
        <w:rPr>
          <w:rFonts w:hint="eastAsia" w:ascii="华文仿宋" w:hAnsi="华文仿宋" w:eastAsia="华文仿宋" w:cs="华文仿宋"/>
          <w:bCs/>
          <w:kern w:val="0"/>
          <w:sz w:val="24"/>
          <w:szCs w:val="24"/>
        </w:rPr>
        <w:t>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或</w:t>
      </w:r>
      <w:r>
        <w:rPr>
          <w:rFonts w:hint="eastAsia" w:ascii="华文仿宋" w:hAnsi="华文仿宋" w:eastAsia="华文仿宋" w:cs="华文仿宋"/>
          <w:bCs/>
          <w:kern w:val="0"/>
          <w:sz w:val="24"/>
          <w:szCs w:val="24"/>
          <w:lang w:eastAsia="zh-CN"/>
        </w:rPr>
        <w:t>本行</w:t>
      </w:r>
      <w:r>
        <w:rPr>
          <w:rFonts w:hint="eastAsia" w:ascii="华文仿宋" w:hAnsi="华文仿宋" w:eastAsia="华文仿宋" w:cs="华文仿宋"/>
          <w:bCs/>
          <w:kern w:val="0"/>
          <w:sz w:val="24"/>
          <w:szCs w:val="24"/>
        </w:rPr>
        <w:t>认为适当的其他方式、地点进行公示。</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w:t>
      </w:r>
      <w:r>
        <w:rPr>
          <w:rFonts w:hint="eastAsia" w:ascii="华文仿宋" w:hAnsi="华文仿宋" w:eastAsia="华文仿宋" w:cs="华文仿宋"/>
          <w:bCs/>
          <w:kern w:val="0"/>
          <w:sz w:val="24"/>
          <w:szCs w:val="24"/>
          <w:lang w:eastAsia="zh-CN"/>
        </w:rPr>
        <w:t>.</w:t>
      </w:r>
      <w:r>
        <w:rPr>
          <w:rFonts w:hint="eastAsia" w:ascii="华文仿宋" w:hAnsi="华文仿宋" w:eastAsia="华文仿宋" w:cs="华文仿宋"/>
          <w:bCs/>
          <w:kern w:val="0"/>
          <w:sz w:val="24"/>
          <w:szCs w:val="24"/>
        </w:rPr>
        <w:t>在理财产品投资运作期间内，客户无权要求提前终止该理财产品；当相关政策出现重大调整、市场出现剧烈波动、投资标的提前到期或发生其他新疆银行认为需要提前终止本理财产品等情况，</w:t>
      </w:r>
      <w:r>
        <w:rPr>
          <w:rFonts w:hint="eastAsia" w:ascii="华文仿宋" w:hAnsi="华文仿宋" w:eastAsia="华文仿宋" w:cs="华文仿宋"/>
          <w:bCs/>
          <w:kern w:val="0"/>
          <w:sz w:val="24"/>
          <w:szCs w:val="24"/>
          <w:lang w:eastAsia="zh-CN"/>
        </w:rPr>
        <w:t>本行</w:t>
      </w:r>
      <w:r>
        <w:rPr>
          <w:rFonts w:hint="eastAsia" w:ascii="华文仿宋" w:hAnsi="华文仿宋" w:eastAsia="华文仿宋" w:cs="华文仿宋"/>
          <w:bCs/>
          <w:kern w:val="0"/>
          <w:sz w:val="24"/>
          <w:szCs w:val="24"/>
        </w:rPr>
        <w:t>有权部分或全部提前终止该款该期理财产品。当</w:t>
      </w:r>
      <w:r>
        <w:rPr>
          <w:rFonts w:hint="eastAsia" w:ascii="华文仿宋" w:hAnsi="华文仿宋" w:eastAsia="华文仿宋" w:cs="华文仿宋"/>
          <w:bCs/>
          <w:kern w:val="0"/>
          <w:sz w:val="24"/>
          <w:szCs w:val="24"/>
          <w:lang w:eastAsia="zh-CN"/>
        </w:rPr>
        <w:t>本</w:t>
      </w:r>
      <w:r>
        <w:rPr>
          <w:rFonts w:hint="eastAsia" w:ascii="华文仿宋" w:hAnsi="华文仿宋" w:eastAsia="华文仿宋" w:cs="华文仿宋"/>
          <w:bCs/>
          <w:kern w:val="0"/>
          <w:sz w:val="24"/>
          <w:szCs w:val="24"/>
        </w:rPr>
        <w:t>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或</w:t>
      </w:r>
      <w:r>
        <w:rPr>
          <w:rFonts w:hint="eastAsia" w:ascii="华文仿宋" w:hAnsi="华文仿宋" w:eastAsia="华文仿宋" w:cs="华文仿宋"/>
          <w:bCs/>
          <w:kern w:val="0"/>
          <w:sz w:val="24"/>
          <w:szCs w:val="24"/>
          <w:lang w:eastAsia="zh-CN"/>
        </w:rPr>
        <w:t>本</w:t>
      </w:r>
      <w:r>
        <w:rPr>
          <w:rFonts w:hint="eastAsia" w:ascii="华文仿宋" w:hAnsi="华文仿宋" w:eastAsia="华文仿宋" w:cs="华文仿宋"/>
          <w:bCs/>
          <w:kern w:val="0"/>
          <w:sz w:val="24"/>
          <w:szCs w:val="24"/>
        </w:rPr>
        <w:t>行认为适当的其他方式、地点进行公示。提前终止日后将客户理财资金及理财收益（如有）划入客户理财账户，划付信息以新疆银行官方网站（www.xjbank.com）或</w:t>
      </w:r>
      <w:r>
        <w:rPr>
          <w:rFonts w:hint="eastAsia" w:ascii="华文仿宋" w:hAnsi="华文仿宋" w:eastAsia="华文仿宋" w:cs="华文仿宋"/>
          <w:bCs/>
          <w:kern w:val="0"/>
          <w:sz w:val="24"/>
          <w:szCs w:val="24"/>
          <w:lang w:eastAsia="zh-CN"/>
        </w:rPr>
        <w:t>本</w:t>
      </w:r>
      <w:r>
        <w:rPr>
          <w:rFonts w:hint="eastAsia" w:ascii="华文仿宋" w:hAnsi="华文仿宋" w:eastAsia="华文仿宋" w:cs="华文仿宋"/>
          <w:bCs/>
          <w:kern w:val="0"/>
          <w:sz w:val="24"/>
          <w:szCs w:val="24"/>
        </w:rPr>
        <w:t>行认为适当的其他方式、地点进行公布为准。提前终止日（含当日）至资金实际到账日之间，客户资金不计息。</w:t>
      </w:r>
    </w:p>
    <w:p>
      <w:pPr>
        <w:keepNext w:val="0"/>
        <w:keepLines w:val="0"/>
        <w:pageBreakBefore w:val="0"/>
        <w:widowControl/>
        <w:kinsoku/>
        <w:overflowPunct/>
        <w:topLinePunct w:val="0"/>
        <w:autoSpaceDE/>
        <w:autoSpaceDN/>
        <w:bidi w:val="0"/>
        <w:adjustRightInd/>
        <w:snapToGrid/>
        <w:spacing w:line="400" w:lineRule="exact"/>
        <w:ind w:firstLine="480" w:firstLineChars="200"/>
        <w:jc w:val="both"/>
        <w:textAlignment w:val="auto"/>
        <w:rPr>
          <w:rFonts w:ascii="华文仿宋" w:hAnsi="华文仿宋" w:eastAsia="华文仿宋" w:cs="华文仿宋"/>
          <w:bCs/>
          <w:color w:val="000000"/>
          <w:kern w:val="0"/>
          <w:sz w:val="24"/>
          <w:szCs w:val="24"/>
          <w:lang w:val="en-US" w:eastAsia="zh-CN" w:bidi="ar"/>
        </w:rPr>
      </w:pPr>
      <w:r>
        <w:rPr>
          <w:rStyle w:val="10"/>
          <w:rFonts w:hint="eastAsia" w:ascii="华文仿宋" w:hAnsi="华文仿宋" w:eastAsia="华文仿宋" w:cs="华文仿宋"/>
          <w:kern w:val="0"/>
          <w:sz w:val="24"/>
          <w:szCs w:val="24"/>
          <w:lang w:eastAsia="zh-CN"/>
        </w:rPr>
        <w:t>六</w:t>
      </w:r>
      <w:r>
        <w:rPr>
          <w:rStyle w:val="10"/>
          <w:rFonts w:hint="eastAsia" w:ascii="华文仿宋" w:hAnsi="华文仿宋" w:eastAsia="华文仿宋" w:cs="华文仿宋"/>
          <w:kern w:val="0"/>
          <w:sz w:val="24"/>
          <w:szCs w:val="24"/>
        </w:rPr>
        <w:t>、信息披露</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80" w:firstLineChars="200"/>
        <w:jc w:val="both"/>
        <w:textAlignment w:val="auto"/>
        <w:rPr>
          <w:rFonts w:hint="eastAsia" w:ascii="华文仿宋" w:hAnsi="华文仿宋" w:eastAsia="华文仿宋" w:cs="华文仿宋"/>
          <w:bCs/>
          <w:color w:val="000000"/>
          <w:kern w:val="0"/>
          <w:sz w:val="24"/>
          <w:szCs w:val="24"/>
          <w:highlight w:val="none"/>
          <w:lang w:val="en-US"/>
        </w:rPr>
      </w:pPr>
      <w:r>
        <w:rPr>
          <w:rFonts w:hint="eastAsia" w:ascii="华文仿宋" w:hAnsi="华文仿宋" w:eastAsia="华文仿宋" w:cs="华文仿宋"/>
          <w:bCs/>
          <w:color w:val="000000"/>
          <w:kern w:val="0"/>
          <w:sz w:val="24"/>
          <w:szCs w:val="24"/>
          <w:highlight w:val="none"/>
          <w:lang w:val="en-US" w:eastAsia="zh-CN" w:bidi="ar"/>
        </w:rPr>
        <w:t>客户同意</w:t>
      </w:r>
      <w:r>
        <w:rPr>
          <w:rFonts w:ascii="华文仿宋" w:hAnsi="华文仿宋" w:eastAsia="华文仿宋" w:cs="华文仿宋"/>
          <w:bCs/>
          <w:color w:val="000000"/>
          <w:kern w:val="0"/>
          <w:sz w:val="24"/>
          <w:szCs w:val="24"/>
          <w:highlight w:val="none"/>
          <w:lang w:val="en-US" w:eastAsia="zh-CN" w:bidi="ar"/>
        </w:rPr>
        <w:t>新疆银行通过新疆银行官方网站（</w:t>
      </w:r>
      <w:r>
        <w:rPr>
          <w:rFonts w:hint="eastAsia" w:ascii="华文仿宋" w:hAnsi="华文仿宋" w:eastAsia="华文仿宋" w:cs="华文仿宋"/>
          <w:bCs/>
          <w:color w:val="000000"/>
          <w:kern w:val="0"/>
          <w:sz w:val="24"/>
          <w:szCs w:val="24"/>
          <w:highlight w:val="none"/>
          <w:lang w:val="en-US" w:eastAsia="zh-CN" w:bidi="ar"/>
        </w:rPr>
        <w:t>www.xjbank.com）或本行认为适当的其他方式、地点披露产品以下相关信息：</w:t>
      </w:r>
      <w:r>
        <w:rPr>
          <w:rFonts w:ascii="sans serif" w:hAnsi="sans serif" w:eastAsia="sans serif" w:cs="sans serif"/>
          <w:color w:val="000000"/>
          <w:kern w:val="0"/>
          <w:sz w:val="24"/>
          <w:szCs w:val="24"/>
          <w:highlight w:val="none"/>
          <w:lang w:val="en-US" w:eastAsia="zh-CN" w:bidi="ar"/>
        </w:rPr>
        <w:t xml:space="preserve"> </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80" w:firstLineChars="200"/>
        <w:jc w:val="both"/>
        <w:textAlignment w:val="auto"/>
        <w:rPr>
          <w:rFonts w:hint="eastAsia" w:ascii="华文仿宋" w:hAnsi="华文仿宋" w:eastAsia="华文仿宋" w:cs="华文仿宋"/>
          <w:bCs/>
          <w:color w:val="000000"/>
          <w:kern w:val="0"/>
          <w:sz w:val="24"/>
          <w:szCs w:val="24"/>
          <w:highlight w:val="none"/>
          <w:lang w:val="en-US"/>
        </w:rPr>
      </w:pPr>
      <w:r>
        <w:rPr>
          <w:rFonts w:hint="eastAsia" w:ascii="华文仿宋" w:hAnsi="华文仿宋" w:eastAsia="华文仿宋" w:cs="华文仿宋"/>
          <w:bCs/>
          <w:color w:val="000000"/>
          <w:kern w:val="0"/>
          <w:sz w:val="24"/>
          <w:szCs w:val="24"/>
          <w:highlight w:val="none"/>
          <w:lang w:val="en-US" w:eastAsia="zh-CN" w:bidi="ar"/>
        </w:rPr>
        <w:t>1.产品成立信息、产品终止信息、产品重大影响事件等；</w:t>
      </w:r>
      <w:r>
        <w:rPr>
          <w:rFonts w:hint="default" w:ascii="sans serif" w:hAnsi="sans serif" w:eastAsia="sans serif" w:cs="sans serif"/>
          <w:color w:val="000000"/>
          <w:kern w:val="0"/>
          <w:sz w:val="24"/>
          <w:szCs w:val="24"/>
          <w:highlight w:val="none"/>
          <w:lang w:val="en-US" w:eastAsia="zh-CN" w:bidi="ar"/>
        </w:rPr>
        <w:t xml:space="preserve"> </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right="0" w:firstLine="480" w:firstLineChars="200"/>
        <w:jc w:val="both"/>
        <w:textAlignment w:val="auto"/>
        <w:rPr>
          <w:rFonts w:hint="eastAsia" w:ascii="华文仿宋" w:hAnsi="华文仿宋" w:eastAsia="华文仿宋" w:cs="华文仿宋"/>
          <w:bCs/>
          <w:color w:val="000000"/>
          <w:kern w:val="0"/>
          <w:sz w:val="24"/>
          <w:szCs w:val="24"/>
          <w:highlight w:val="none"/>
          <w:lang w:val="en-US" w:eastAsia="zh-CN" w:bidi="ar"/>
        </w:rPr>
      </w:pPr>
      <w:r>
        <w:rPr>
          <w:rFonts w:hint="eastAsia" w:ascii="华文仿宋" w:hAnsi="华文仿宋" w:eastAsia="华文仿宋" w:cs="华文仿宋"/>
          <w:bCs/>
          <w:color w:val="000000"/>
          <w:kern w:val="0"/>
          <w:sz w:val="24"/>
          <w:szCs w:val="24"/>
          <w:highlight w:val="none"/>
          <w:lang w:val="en-US" w:eastAsia="zh-CN" w:bidi="ar"/>
        </w:rPr>
        <w:t>2.在本产品存续期内，按季披露产品单位净值；</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right="0" w:firstLine="480" w:firstLineChars="200"/>
        <w:jc w:val="both"/>
        <w:textAlignment w:val="auto"/>
        <w:rPr>
          <w:rFonts w:hint="eastAsia" w:ascii="华文仿宋" w:hAnsi="华文仿宋" w:eastAsia="华文仿宋" w:cs="华文仿宋"/>
          <w:bCs/>
          <w:color w:val="000000"/>
          <w:kern w:val="0"/>
          <w:sz w:val="24"/>
          <w:szCs w:val="24"/>
          <w:highlight w:val="none"/>
          <w:lang w:val="en-US"/>
        </w:rPr>
      </w:pPr>
      <w:r>
        <w:rPr>
          <w:rFonts w:hint="eastAsia" w:ascii="华文仿宋" w:hAnsi="华文仿宋" w:eastAsia="华文仿宋" w:cs="华文仿宋"/>
          <w:bCs/>
          <w:color w:val="000000"/>
          <w:kern w:val="0"/>
          <w:sz w:val="24"/>
          <w:szCs w:val="24"/>
          <w:highlight w:val="none"/>
          <w:lang w:val="en-US" w:eastAsia="zh-CN" w:bidi="ar"/>
        </w:rPr>
        <w:t>3.理财产品</w:t>
      </w:r>
      <w:r>
        <w:rPr>
          <w:rFonts w:hint="eastAsia" w:ascii="华文仿宋" w:hAnsi="华文仿宋" w:eastAsia="华文仿宋" w:cs="华文仿宋"/>
          <w:bCs/>
          <w:kern w:val="0"/>
          <w:sz w:val="24"/>
          <w:szCs w:val="24"/>
          <w:highlight w:val="none"/>
        </w:rPr>
        <w:t>季度</w:t>
      </w:r>
      <w:r>
        <w:rPr>
          <w:rFonts w:hint="eastAsia" w:ascii="华文仿宋" w:hAnsi="华文仿宋" w:eastAsia="华文仿宋" w:cs="华文仿宋"/>
          <w:bCs/>
          <w:kern w:val="0"/>
          <w:sz w:val="24"/>
          <w:szCs w:val="24"/>
          <w:highlight w:val="none"/>
          <w:lang w:eastAsia="zh-CN"/>
        </w:rPr>
        <w:t>、半年和年度报告等运作报告；</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bookmarkStart w:id="0" w:name="_GoBack"/>
      <w:bookmarkEnd w:id="0"/>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10"/>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10"/>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10"/>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4"/>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10"/>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5DFE"/>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4E6199"/>
    <w:rsid w:val="02815AEE"/>
    <w:rsid w:val="03955958"/>
    <w:rsid w:val="03BE3E9D"/>
    <w:rsid w:val="03F10231"/>
    <w:rsid w:val="046C6593"/>
    <w:rsid w:val="049B48CA"/>
    <w:rsid w:val="04AF546C"/>
    <w:rsid w:val="05B64F63"/>
    <w:rsid w:val="05DB5048"/>
    <w:rsid w:val="06AA54B4"/>
    <w:rsid w:val="071612C3"/>
    <w:rsid w:val="074A0594"/>
    <w:rsid w:val="07587474"/>
    <w:rsid w:val="07EC16C9"/>
    <w:rsid w:val="080B763A"/>
    <w:rsid w:val="0907159B"/>
    <w:rsid w:val="0A2C2EA4"/>
    <w:rsid w:val="0A8D7997"/>
    <w:rsid w:val="0B4D005C"/>
    <w:rsid w:val="0BA9533F"/>
    <w:rsid w:val="0C74224A"/>
    <w:rsid w:val="0C7A6F79"/>
    <w:rsid w:val="0CE4070D"/>
    <w:rsid w:val="0DA46A68"/>
    <w:rsid w:val="0DAF0AC9"/>
    <w:rsid w:val="0DCC06A1"/>
    <w:rsid w:val="0DDC7649"/>
    <w:rsid w:val="0E524ABE"/>
    <w:rsid w:val="0E8811E3"/>
    <w:rsid w:val="0E88794A"/>
    <w:rsid w:val="0E8F6CE4"/>
    <w:rsid w:val="0F2849D0"/>
    <w:rsid w:val="0F344F29"/>
    <w:rsid w:val="0F5B16E3"/>
    <w:rsid w:val="0F833DB6"/>
    <w:rsid w:val="11824445"/>
    <w:rsid w:val="120B3115"/>
    <w:rsid w:val="120F35DB"/>
    <w:rsid w:val="121D63BB"/>
    <w:rsid w:val="12295BA1"/>
    <w:rsid w:val="124949D7"/>
    <w:rsid w:val="12780E10"/>
    <w:rsid w:val="12E93A59"/>
    <w:rsid w:val="12EE12F4"/>
    <w:rsid w:val="13DF2514"/>
    <w:rsid w:val="14F135B5"/>
    <w:rsid w:val="150B39CF"/>
    <w:rsid w:val="158B366C"/>
    <w:rsid w:val="15935EA1"/>
    <w:rsid w:val="166528F4"/>
    <w:rsid w:val="16AE17C7"/>
    <w:rsid w:val="17542E5A"/>
    <w:rsid w:val="17D9317F"/>
    <w:rsid w:val="18042655"/>
    <w:rsid w:val="18307F10"/>
    <w:rsid w:val="185946D3"/>
    <w:rsid w:val="195A4BED"/>
    <w:rsid w:val="19617D23"/>
    <w:rsid w:val="1A5D36E1"/>
    <w:rsid w:val="1A8B77C4"/>
    <w:rsid w:val="1AAF2A04"/>
    <w:rsid w:val="1B4476ED"/>
    <w:rsid w:val="1B5442C5"/>
    <w:rsid w:val="1B8B56DD"/>
    <w:rsid w:val="1CFB3A9C"/>
    <w:rsid w:val="1DFC2D88"/>
    <w:rsid w:val="1EC82CB7"/>
    <w:rsid w:val="1EE47BA2"/>
    <w:rsid w:val="1F7455FB"/>
    <w:rsid w:val="1F7C2FF2"/>
    <w:rsid w:val="1F966E48"/>
    <w:rsid w:val="20563BE2"/>
    <w:rsid w:val="213F6FAD"/>
    <w:rsid w:val="219B0D2E"/>
    <w:rsid w:val="2220322C"/>
    <w:rsid w:val="22BC6D50"/>
    <w:rsid w:val="22EB1616"/>
    <w:rsid w:val="24730B3D"/>
    <w:rsid w:val="2534030C"/>
    <w:rsid w:val="25E45274"/>
    <w:rsid w:val="25F21ED5"/>
    <w:rsid w:val="25F77DD4"/>
    <w:rsid w:val="26133099"/>
    <w:rsid w:val="2634550B"/>
    <w:rsid w:val="267A2E2F"/>
    <w:rsid w:val="268E1986"/>
    <w:rsid w:val="278E3FFE"/>
    <w:rsid w:val="27F42EEC"/>
    <w:rsid w:val="282E437B"/>
    <w:rsid w:val="28791365"/>
    <w:rsid w:val="28EC26E5"/>
    <w:rsid w:val="292A75D2"/>
    <w:rsid w:val="29844397"/>
    <w:rsid w:val="29C0055D"/>
    <w:rsid w:val="29FF0896"/>
    <w:rsid w:val="2A455C17"/>
    <w:rsid w:val="2A52489E"/>
    <w:rsid w:val="2AD147D9"/>
    <w:rsid w:val="2BC914E0"/>
    <w:rsid w:val="2C35520A"/>
    <w:rsid w:val="2C4918C9"/>
    <w:rsid w:val="2D110BC6"/>
    <w:rsid w:val="2DA6037C"/>
    <w:rsid w:val="2EC47150"/>
    <w:rsid w:val="2EF04DAC"/>
    <w:rsid w:val="2F41330F"/>
    <w:rsid w:val="2F8C2E55"/>
    <w:rsid w:val="2F9117B7"/>
    <w:rsid w:val="2FB06FC7"/>
    <w:rsid w:val="3042169D"/>
    <w:rsid w:val="307A7322"/>
    <w:rsid w:val="31290C6E"/>
    <w:rsid w:val="315437AD"/>
    <w:rsid w:val="33730894"/>
    <w:rsid w:val="33E756EA"/>
    <w:rsid w:val="34366A70"/>
    <w:rsid w:val="348B16F4"/>
    <w:rsid w:val="351405AD"/>
    <w:rsid w:val="363C0B01"/>
    <w:rsid w:val="36872AFD"/>
    <w:rsid w:val="37014554"/>
    <w:rsid w:val="370234D1"/>
    <w:rsid w:val="37CF7215"/>
    <w:rsid w:val="38183BCB"/>
    <w:rsid w:val="38627E39"/>
    <w:rsid w:val="38E87E13"/>
    <w:rsid w:val="39163510"/>
    <w:rsid w:val="39EA31BF"/>
    <w:rsid w:val="3A332045"/>
    <w:rsid w:val="3A3E4986"/>
    <w:rsid w:val="3A7D3C24"/>
    <w:rsid w:val="3A7F4C3C"/>
    <w:rsid w:val="3B6E4155"/>
    <w:rsid w:val="3B9B1FD9"/>
    <w:rsid w:val="3BC03386"/>
    <w:rsid w:val="3C3F7C9E"/>
    <w:rsid w:val="3D217F19"/>
    <w:rsid w:val="3D4C494C"/>
    <w:rsid w:val="3D537888"/>
    <w:rsid w:val="3D653F1C"/>
    <w:rsid w:val="3DB34675"/>
    <w:rsid w:val="3DFC5C2C"/>
    <w:rsid w:val="3E7B27BF"/>
    <w:rsid w:val="3E8A3700"/>
    <w:rsid w:val="3F0A535E"/>
    <w:rsid w:val="3F196DCE"/>
    <w:rsid w:val="3F2040FB"/>
    <w:rsid w:val="405B732C"/>
    <w:rsid w:val="405F3DE3"/>
    <w:rsid w:val="4076793D"/>
    <w:rsid w:val="409C44FE"/>
    <w:rsid w:val="40DF3AF5"/>
    <w:rsid w:val="413A20B3"/>
    <w:rsid w:val="413C34DF"/>
    <w:rsid w:val="42AC4926"/>
    <w:rsid w:val="42DD237F"/>
    <w:rsid w:val="43121CF7"/>
    <w:rsid w:val="43335DF5"/>
    <w:rsid w:val="43B6405B"/>
    <w:rsid w:val="43BC5778"/>
    <w:rsid w:val="44B22A69"/>
    <w:rsid w:val="44D6630D"/>
    <w:rsid w:val="45401AFB"/>
    <w:rsid w:val="459763C6"/>
    <w:rsid w:val="4598365C"/>
    <w:rsid w:val="45B64890"/>
    <w:rsid w:val="45FB16A4"/>
    <w:rsid w:val="469474E9"/>
    <w:rsid w:val="46BD2285"/>
    <w:rsid w:val="471A3B83"/>
    <w:rsid w:val="47487984"/>
    <w:rsid w:val="47837790"/>
    <w:rsid w:val="47B420DC"/>
    <w:rsid w:val="48122FCB"/>
    <w:rsid w:val="48364538"/>
    <w:rsid w:val="48C41F58"/>
    <w:rsid w:val="498D22D6"/>
    <w:rsid w:val="4A1E0A39"/>
    <w:rsid w:val="4AA84823"/>
    <w:rsid w:val="4B072B50"/>
    <w:rsid w:val="4B281014"/>
    <w:rsid w:val="4B604287"/>
    <w:rsid w:val="4B711779"/>
    <w:rsid w:val="4C7630F9"/>
    <w:rsid w:val="4CD01ACC"/>
    <w:rsid w:val="4CF54780"/>
    <w:rsid w:val="4D5765AE"/>
    <w:rsid w:val="4D7B2FCE"/>
    <w:rsid w:val="4DA44967"/>
    <w:rsid w:val="4DC14671"/>
    <w:rsid w:val="4E377DFA"/>
    <w:rsid w:val="4F9B089F"/>
    <w:rsid w:val="50063C66"/>
    <w:rsid w:val="5035799B"/>
    <w:rsid w:val="504E6E39"/>
    <w:rsid w:val="50CA1DC1"/>
    <w:rsid w:val="511F1CBA"/>
    <w:rsid w:val="51344803"/>
    <w:rsid w:val="51414667"/>
    <w:rsid w:val="515733DC"/>
    <w:rsid w:val="515E5066"/>
    <w:rsid w:val="52954242"/>
    <w:rsid w:val="529E0394"/>
    <w:rsid w:val="52B0246D"/>
    <w:rsid w:val="52B80B3D"/>
    <w:rsid w:val="534C60E1"/>
    <w:rsid w:val="53756306"/>
    <w:rsid w:val="53CA6B62"/>
    <w:rsid w:val="54C43AF6"/>
    <w:rsid w:val="55296C99"/>
    <w:rsid w:val="552B1C1B"/>
    <w:rsid w:val="557C3BE9"/>
    <w:rsid w:val="562F2B32"/>
    <w:rsid w:val="56821D04"/>
    <w:rsid w:val="57995907"/>
    <w:rsid w:val="57E86B41"/>
    <w:rsid w:val="58021263"/>
    <w:rsid w:val="58414428"/>
    <w:rsid w:val="584816BC"/>
    <w:rsid w:val="58FB4856"/>
    <w:rsid w:val="5A3A65B9"/>
    <w:rsid w:val="5B3D2F8C"/>
    <w:rsid w:val="5BA85F91"/>
    <w:rsid w:val="5BBC0B41"/>
    <w:rsid w:val="5C5F2242"/>
    <w:rsid w:val="5D236304"/>
    <w:rsid w:val="5D2F6DB4"/>
    <w:rsid w:val="5D500033"/>
    <w:rsid w:val="5E82211D"/>
    <w:rsid w:val="5EDE091D"/>
    <w:rsid w:val="5EEE79C2"/>
    <w:rsid w:val="5F06242E"/>
    <w:rsid w:val="6062131F"/>
    <w:rsid w:val="60716656"/>
    <w:rsid w:val="6099040F"/>
    <w:rsid w:val="60D12938"/>
    <w:rsid w:val="618F1399"/>
    <w:rsid w:val="620B06BE"/>
    <w:rsid w:val="62DC4530"/>
    <w:rsid w:val="63B2608C"/>
    <w:rsid w:val="63D9371B"/>
    <w:rsid w:val="650134AF"/>
    <w:rsid w:val="65CE7B52"/>
    <w:rsid w:val="66437D7B"/>
    <w:rsid w:val="66915AAB"/>
    <w:rsid w:val="6734067F"/>
    <w:rsid w:val="676B2A82"/>
    <w:rsid w:val="68107BBA"/>
    <w:rsid w:val="6A6D0199"/>
    <w:rsid w:val="6ABD731A"/>
    <w:rsid w:val="6B240175"/>
    <w:rsid w:val="6C2346AB"/>
    <w:rsid w:val="6D60040F"/>
    <w:rsid w:val="6D9846CE"/>
    <w:rsid w:val="6E352F0A"/>
    <w:rsid w:val="6EF3563C"/>
    <w:rsid w:val="6F5C6FC8"/>
    <w:rsid w:val="6FD82CAB"/>
    <w:rsid w:val="6FFB2677"/>
    <w:rsid w:val="703C2EBA"/>
    <w:rsid w:val="705469F5"/>
    <w:rsid w:val="71961F41"/>
    <w:rsid w:val="71D81222"/>
    <w:rsid w:val="72550D4E"/>
    <w:rsid w:val="73011DED"/>
    <w:rsid w:val="746F77E5"/>
    <w:rsid w:val="752D0CE0"/>
    <w:rsid w:val="75A21959"/>
    <w:rsid w:val="75B25B27"/>
    <w:rsid w:val="77564DA9"/>
    <w:rsid w:val="77692B6F"/>
    <w:rsid w:val="7778491D"/>
    <w:rsid w:val="779424F8"/>
    <w:rsid w:val="77BB533C"/>
    <w:rsid w:val="7A1F5DC7"/>
    <w:rsid w:val="7A631B88"/>
    <w:rsid w:val="7ABD364D"/>
    <w:rsid w:val="7B5D4C8A"/>
    <w:rsid w:val="7BB32856"/>
    <w:rsid w:val="7CAB3AE1"/>
    <w:rsid w:val="7D0C1DD9"/>
    <w:rsid w:val="7D463D51"/>
    <w:rsid w:val="7DC360C8"/>
    <w:rsid w:val="7E01172B"/>
    <w:rsid w:val="7E5F744D"/>
    <w:rsid w:val="7EDE3071"/>
    <w:rsid w:val="7F200C08"/>
    <w:rsid w:val="7FCD74C2"/>
    <w:rsid w:val="7FF75AA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6"/>
    <w:unhideWhenUsed/>
    <w:qFormat/>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rFonts w:ascii="Calibri" w:hAnsi="Calibri"/>
      <w:kern w:val="0"/>
      <w:sz w:val="24"/>
      <w:szCs w:val="24"/>
    </w:rPr>
  </w:style>
  <w:style w:type="table" w:styleId="8">
    <w:name w:val="Table Grid"/>
    <w:basedOn w:val="7"/>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99"/>
    <w:rPr>
      <w:rFonts w:cs="Times New Roman"/>
      <w:b/>
      <w:bCs/>
    </w:rPr>
  </w:style>
  <w:style w:type="character" w:styleId="11">
    <w:name w:val="Hyperlink"/>
    <w:basedOn w:val="9"/>
    <w:unhideWhenUsed/>
    <w:qFormat/>
    <w:uiPriority w:val="99"/>
    <w:rPr>
      <w:color w:val="0000FF"/>
      <w:u w:val="single"/>
    </w:rPr>
  </w:style>
  <w:style w:type="character" w:customStyle="1" w:styleId="12">
    <w:name w:val="页眉 Char"/>
    <w:basedOn w:val="9"/>
    <w:link w:val="5"/>
    <w:semiHidden/>
    <w:qFormat/>
    <w:uiPriority w:val="99"/>
    <w:rPr>
      <w:rFonts w:ascii="Times New Roman" w:hAnsi="Times New Roman"/>
      <w:sz w:val="18"/>
      <w:szCs w:val="18"/>
    </w:rPr>
  </w:style>
  <w:style w:type="character" w:customStyle="1" w:styleId="13">
    <w:name w:val="页脚 Char"/>
    <w:basedOn w:val="9"/>
    <w:link w:val="4"/>
    <w:qFormat/>
    <w:uiPriority w:val="99"/>
    <w:rPr>
      <w:rFonts w:ascii="Times New Roman" w:hAnsi="Times New Roman"/>
      <w:sz w:val="18"/>
      <w:szCs w:val="18"/>
    </w:rPr>
  </w:style>
  <w:style w:type="character" w:customStyle="1" w:styleId="14">
    <w:name w:val="fontstyle01"/>
    <w:basedOn w:val="9"/>
    <w:qFormat/>
    <w:uiPriority w:val="0"/>
    <w:rPr>
      <w:rFonts w:hint="eastAsia" w:ascii="宋体" w:hAnsi="宋体" w:eastAsia="宋体" w:cs="宋体"/>
      <w:color w:val="000000"/>
      <w:sz w:val="22"/>
      <w:szCs w:val="22"/>
    </w:rPr>
  </w:style>
  <w:style w:type="character" w:customStyle="1" w:styleId="15">
    <w:name w:val="fontstyle11"/>
    <w:basedOn w:val="9"/>
    <w:qFormat/>
    <w:uiPriority w:val="0"/>
    <w:rPr>
      <w:rFonts w:ascii="仿宋" w:hAnsi="仿宋" w:eastAsia="仿宋" w:cs="仿宋"/>
      <w:color w:val="000000"/>
      <w:sz w:val="22"/>
      <w:szCs w:val="22"/>
    </w:rPr>
  </w:style>
  <w:style w:type="character" w:customStyle="1" w:styleId="16">
    <w:name w:val="批注框文本 Char"/>
    <w:basedOn w:val="9"/>
    <w:link w:val="3"/>
    <w:semiHidden/>
    <w:qFormat/>
    <w:uiPriority w:val="99"/>
    <w:rPr>
      <w:kern w:val="2"/>
      <w:sz w:val="18"/>
      <w:szCs w:val="18"/>
    </w:rPr>
  </w:style>
  <w:style w:type="paragraph" w:customStyle="1"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5000</Words>
  <Characters>5464</Characters>
  <Lines>44</Lines>
  <Paragraphs>12</Paragraphs>
  <TotalTime>67</TotalTime>
  <ScaleCrop>false</ScaleCrop>
  <LinksUpToDate>false</LinksUpToDate>
  <CharactersWithSpaces>5594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2019-06-26T14:16:00Z</cp:lastPrinted>
  <dcterms:modified xsi:type="dcterms:W3CDTF">2020-10-27T10:26:59Z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