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10"/>
          <w:rFonts w:cs="宋体"/>
          <w:kern w:val="0"/>
          <w:sz w:val="28"/>
          <w:szCs w:val="28"/>
        </w:rPr>
      </w:pPr>
    </w:p>
    <w:p>
      <w:pPr>
        <w:spacing w:line="360" w:lineRule="exact"/>
        <w:jc w:val="center"/>
        <w:rPr>
          <w:rStyle w:val="10"/>
          <w:rFonts w:hint="eastAsia" w:cs="宋体"/>
          <w:kern w:val="0"/>
          <w:sz w:val="28"/>
          <w:szCs w:val="28"/>
        </w:rPr>
      </w:pPr>
      <w:r>
        <w:rPr>
          <w:rStyle w:val="10"/>
          <w:rFonts w:hint="eastAsia" w:cs="宋体"/>
          <w:kern w:val="0"/>
          <w:sz w:val="28"/>
          <w:szCs w:val="28"/>
        </w:rPr>
        <w:t>新疆银行</w:t>
      </w:r>
      <w:r>
        <w:rPr>
          <w:rStyle w:val="10"/>
          <w:rFonts w:hint="eastAsia" w:cs="宋体"/>
          <w:kern w:val="0"/>
          <w:sz w:val="28"/>
          <w:szCs w:val="28"/>
          <w:lang w:eastAsia="zh-CN"/>
        </w:rPr>
        <w:t>金胡杨私募封闭式净值</w:t>
      </w:r>
      <w:r>
        <w:rPr>
          <w:rStyle w:val="10"/>
          <w:rFonts w:hint="eastAsia" w:cs="宋体"/>
          <w:kern w:val="0"/>
          <w:sz w:val="28"/>
          <w:szCs w:val="28"/>
        </w:rPr>
        <w:t>理财产品客户权益须知</w:t>
      </w:r>
    </w:p>
    <w:p>
      <w:pPr>
        <w:widowControl/>
        <w:spacing w:line="400" w:lineRule="exact"/>
        <w:jc w:val="center"/>
        <w:rPr>
          <w:rStyle w:val="10"/>
          <w:rFonts w:hint="eastAsia" w:cs="宋体"/>
          <w:kern w:val="0"/>
          <w:sz w:val="28"/>
          <w:szCs w:val="28"/>
        </w:rPr>
      </w:pPr>
      <w:r>
        <w:rPr>
          <w:rStyle w:val="10"/>
          <w:rFonts w:hint="eastAsia" w:ascii="宋体" w:hAnsi="宋体" w:cs="宋体"/>
          <w:kern w:val="0"/>
          <w:sz w:val="18"/>
          <w:szCs w:val="18"/>
        </w:rPr>
        <w:t>理财产品过往业绩不代表其未来表现，不等于理财产品实际收益</w:t>
      </w:r>
    </w:p>
    <w:p>
      <w:pPr>
        <w:widowControl/>
        <w:spacing w:line="360" w:lineRule="exact"/>
        <w:jc w:val="center"/>
        <w:rPr>
          <w:rFonts w:ascii="宋体" w:hAnsi="宋体" w:cs="宋体"/>
          <w:bCs/>
          <w:kern w:val="0"/>
          <w:sz w:val="18"/>
          <w:szCs w:val="18"/>
        </w:rPr>
      </w:pPr>
      <w:r>
        <w:rPr>
          <w:rStyle w:val="10"/>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8"/>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1.</w:t>
            </w:r>
            <w:r>
              <w:rPr>
                <w:rFonts w:hint="eastAsia" w:ascii="华文仿宋" w:hAnsi="华文仿宋" w:eastAsia="华文仿宋"/>
                <w:b/>
                <w:sz w:val="24"/>
                <w:szCs w:val="24"/>
              </w:rPr>
              <w:t>开立借记卡：</w:t>
            </w:r>
            <w:r>
              <w:rPr>
                <w:rFonts w:hint="eastAsia" w:ascii="华文仿宋" w:hAnsi="华文仿宋" w:eastAsia="华文仿宋"/>
                <w:sz w:val="24"/>
                <w:szCs w:val="24"/>
              </w:rPr>
              <w:t>在新疆银行办理理财业务，个人投资者请先开立借记卡。</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2.</w:t>
            </w:r>
            <w:r>
              <w:rPr>
                <w:rFonts w:hint="eastAsia" w:ascii="华文仿宋" w:hAnsi="华文仿宋" w:eastAsia="华文仿宋"/>
                <w:b/>
                <w:sz w:val="24"/>
                <w:szCs w:val="24"/>
              </w:rPr>
              <w:t>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numPr>
                <w:ilvl w:val="0"/>
                <w:numId w:val="0"/>
              </w:numPr>
              <w:spacing w:line="360" w:lineRule="exact"/>
              <w:ind w:firstLine="480" w:firstLineChars="20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w:t>
            </w:r>
            <w:r>
              <w:rPr>
                <w:rFonts w:hint="eastAsia" w:ascii="华文仿宋" w:hAnsi="华文仿宋" w:eastAsia="华文仿宋"/>
                <w:sz w:val="24"/>
                <w:szCs w:val="24"/>
                <w:lang w:eastAsia="zh-CN"/>
              </w:rPr>
              <w:t>金胡杨私募封闭式净值型理财产品</w:t>
            </w:r>
            <w:r>
              <w:rPr>
                <w:rFonts w:hint="eastAsia" w:ascii="华文仿宋" w:hAnsi="华文仿宋" w:eastAsia="华文仿宋"/>
                <w:sz w:val="24"/>
                <w:szCs w:val="24"/>
              </w:rPr>
              <w:t>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5.</w:t>
            </w:r>
            <w:r>
              <w:rPr>
                <w:rFonts w:hint="eastAsia" w:ascii="华文仿宋" w:hAnsi="华文仿宋" w:eastAsia="华文仿宋"/>
                <w:b/>
                <w:sz w:val="24"/>
                <w:szCs w:val="24"/>
              </w:rPr>
              <w:t>查询：</w:t>
            </w:r>
            <w:r>
              <w:rPr>
                <w:rFonts w:hint="eastAsia" w:ascii="华文仿宋" w:hAnsi="华文仿宋" w:eastAsia="华文仿宋"/>
                <w:sz w:val="24"/>
                <w:szCs w:val="24"/>
              </w:rPr>
              <w:t>个人投资者凭本人有效证件及指定借记卡，可至网点查询理财产品持有情况、交易情况等。投资者还可至相应电子渠道，查询理财产品持有情况、交易情况等。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default" w:ascii="华文仿宋" w:hAnsi="华文仿宋" w:eastAsia="华文仿宋"/>
                <w:b/>
                <w:bCs w:val="0"/>
                <w:sz w:val="24"/>
                <w:szCs w:val="24"/>
                <w:highlight w:val="none"/>
                <w:lang w:val="en-US" w:eastAsia="zh-CN"/>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双方签订协议起二十五小时内，如您改变决定，需解除签订的销售协议，我行将及时退还您的全部投资款项，在此二十五小时之内即为投资冷静期</w:t>
            </w:r>
            <w:r>
              <w:rPr>
                <w:rFonts w:hint="eastAsia" w:ascii="华文仿宋" w:hAnsi="华文仿宋" w:eastAsia="华文仿宋"/>
                <w:b w:val="0"/>
                <w:bCs/>
                <w:sz w:val="24"/>
                <w:szCs w:val="24"/>
                <w:highlight w:val="none"/>
                <w:lang w:val="en-US" w:eastAsia="zh-CN"/>
              </w:rPr>
              <w:t>，投资冷静期截止时间为产品起息日前一日的19:00整。</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w:t>
            </w:r>
            <w:r>
              <w:rPr>
                <w:rFonts w:hint="eastAsia" w:ascii="华文仿宋" w:hAnsi="华文仿宋" w:eastAsia="华文仿宋"/>
                <w:sz w:val="24"/>
                <w:szCs w:val="24"/>
                <w:lang w:eastAsia="zh-CN"/>
              </w:rPr>
              <w:t>，</w:t>
            </w:r>
            <w:r>
              <w:rPr>
                <w:rFonts w:hint="eastAsia" w:ascii="华文仿宋" w:hAnsi="华文仿宋" w:eastAsia="华文仿宋"/>
                <w:sz w:val="24"/>
                <w:szCs w:val="24"/>
              </w:rPr>
              <w:t>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numPr>
                <w:ilvl w:val="0"/>
                <w:numId w:val="1"/>
              </w:numPr>
              <w:spacing w:line="360" w:lineRule="exact"/>
              <w:ind w:left="0" w:leftChars="0" w:firstLineChars="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lang w:eastAsia="zh-CN"/>
              </w:rPr>
              <w:t>合格投资者</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1.本私募封闭式净值理财产品认购仅限合格投资者。</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2.合格投资者认定需要本人至银行网点进行。</w:t>
            </w:r>
          </w:p>
          <w:p>
            <w:pPr>
              <w:numPr>
                <w:ilvl w:val="0"/>
                <w:numId w:val="0"/>
              </w:numPr>
              <w:spacing w:line="360" w:lineRule="exact"/>
              <w:ind w:left="480" w:leftChars="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3.合格投资者要求具有相应风险识别能力和风险承受能力，投资于单只理财产品不低于该产品的最低购买金额，且符合下列条件的自然人：</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具有2年以上投资经历，且满足家庭金融净资产不低于300万元人民币，或者家庭金融资产不低于500万元人民币，或者近3年本人年均收入不低于40万元人民币；</w:t>
            </w:r>
          </w:p>
          <w:p>
            <w:pPr>
              <w:numPr>
                <w:ilvl w:val="0"/>
                <w:numId w:val="1"/>
              </w:numPr>
              <w:spacing w:line="360" w:lineRule="exact"/>
              <w:ind w:left="0" w:leftChars="0" w:firstLineChars="0"/>
              <w:rPr>
                <w:rFonts w:hint="eastAsia" w:ascii="华文仿宋" w:hAnsi="华文仿宋" w:eastAsia="华文仿宋"/>
                <w:sz w:val="24"/>
                <w:szCs w:val="24"/>
              </w:rPr>
            </w:pPr>
            <w:r>
              <w:rPr>
                <w:rFonts w:hint="eastAsia" w:ascii="华文仿宋" w:hAnsi="华文仿宋" w:eastAsia="华文仿宋"/>
                <w:sz w:val="24"/>
                <w:szCs w:val="24"/>
                <w:lang w:eastAsia="zh-CN"/>
              </w:rPr>
              <w:t>风险承受能力评估</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sz w:val="24"/>
                <w:szCs w:val="24"/>
                <w:lang w:val="en-US" w:eastAsia="zh-CN"/>
              </w:rPr>
              <w:t>1.</w:t>
            </w:r>
            <w:r>
              <w:rPr>
                <w:rFonts w:hint="eastAsia" w:ascii="华文仿宋" w:hAnsi="华文仿宋" w:eastAsia="华文仿宋"/>
                <w:sz w:val="24"/>
                <w:szCs w:val="24"/>
              </w:rPr>
              <w:t>首次进行风险承受能力评估，须在</w:t>
            </w:r>
            <w:r>
              <w:rPr>
                <w:rFonts w:hint="eastAsia" w:ascii="华文仿宋" w:hAnsi="华文仿宋" w:eastAsia="华文仿宋"/>
                <w:sz w:val="24"/>
                <w:szCs w:val="24"/>
                <w:lang w:eastAsia="zh-CN"/>
              </w:rPr>
              <w:t>我行</w:t>
            </w:r>
            <w:r>
              <w:rPr>
                <w:rFonts w:hint="eastAsia" w:ascii="华文仿宋" w:hAnsi="华文仿宋" w:eastAsia="华文仿宋"/>
                <w:sz w:val="24"/>
                <w:szCs w:val="24"/>
              </w:rPr>
              <w:t>网点进行。</w:t>
            </w:r>
          </w:p>
          <w:p>
            <w:pPr>
              <w:numPr>
                <w:ilvl w:val="0"/>
                <w:numId w:val="0"/>
              </w:numPr>
              <w:spacing w:line="360" w:lineRule="exact"/>
              <w:ind w:firstLine="480" w:firstLineChars="200"/>
              <w:rPr>
                <w:rFonts w:hint="eastAsia" w:cs="宋体" w:asciiTheme="minorEastAsia" w:hAnsiTheme="minorEastAsia" w:eastAsiaTheme="minorEastAsia"/>
                <w:kern w:val="0"/>
                <w:sz w:val="18"/>
                <w:szCs w:val="18"/>
                <w:lang w:eastAsia="zh-CN"/>
              </w:rPr>
            </w:pPr>
            <w:r>
              <w:rPr>
                <w:rFonts w:hint="eastAsia" w:ascii="华文仿宋" w:hAnsi="华文仿宋" w:eastAsia="华文仿宋"/>
                <w:sz w:val="24"/>
                <w:szCs w:val="24"/>
                <w:lang w:val="en-US" w:eastAsia="zh-CN"/>
              </w:rPr>
              <w:t>2.</w:t>
            </w:r>
            <w:r>
              <w:rPr>
                <w:rFonts w:hint="eastAsia" w:ascii="华文仿宋" w:hAnsi="华文仿宋" w:eastAsia="华文仿宋"/>
                <w:sz w:val="24"/>
                <w:szCs w:val="24"/>
              </w:rPr>
              <w:t>超过一年未进行风险承受能力评估，再次购买理财产品须在各营业网点或适用的电子渠道完成风险承受能力评估。</w:t>
            </w:r>
          </w:p>
          <w:p>
            <w:pPr>
              <w:numPr>
                <w:ilvl w:val="0"/>
                <w:numId w:val="0"/>
              </w:num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lang w:val="en-US" w:eastAsia="zh-CN"/>
              </w:rPr>
              <w:t>3.</w:t>
            </w:r>
            <w:r>
              <w:rPr>
                <w:rFonts w:hint="eastAsia" w:ascii="华文仿宋" w:hAnsi="华文仿宋" w:eastAsia="华文仿宋"/>
                <w:sz w:val="24"/>
                <w:szCs w:val="24"/>
              </w:rPr>
              <w:t>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lang w:val="en-US" w:eastAsia="zh-CN"/>
              </w:rPr>
              <w:t>4.</w:t>
            </w:r>
            <w:r>
              <w:rPr>
                <w:rFonts w:hint="eastAsia" w:ascii="华文仿宋" w:hAnsi="华文仿宋" w:eastAsia="华文仿宋"/>
                <w:sz w:val="24"/>
                <w:szCs w:val="24"/>
              </w:rPr>
              <w:t>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hint="eastAsia" w:ascii="华文仿宋" w:hAnsi="华文仿宋" w:eastAsia="华文仿宋"/>
                <w:sz w:val="24"/>
                <w:szCs w:val="24"/>
                <w:lang w:val="en-US" w:eastAsia="zh-CN"/>
              </w:rPr>
            </w:pPr>
            <w:r>
              <w:rPr>
                <w:rFonts w:hint="eastAsia" w:ascii="华文仿宋" w:hAnsi="华文仿宋" w:eastAsia="华文仿宋"/>
                <w:b/>
                <w:sz w:val="24"/>
                <w:szCs w:val="24"/>
              </w:rPr>
              <w:t>三.产品风险</w:t>
            </w:r>
            <w:r>
              <w:rPr>
                <w:rFonts w:hint="eastAsia" w:ascii="华文仿宋" w:hAnsi="华文仿宋" w:eastAsia="华文仿宋"/>
                <w:b/>
                <w:sz w:val="24"/>
                <w:szCs w:val="24"/>
                <w:lang w:eastAsia="zh-CN"/>
              </w:rPr>
              <w:t>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7"/>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bookmarkStart w:id="0" w:name="_GoBack"/>
      <w:bookmarkEnd w:id="0"/>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p>
    <w:pPr>
      <w:pStyle w:val="6"/>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6C92B"/>
    <w:multiLevelType w:val="singleLevel"/>
    <w:tmpl w:val="46A6C92B"/>
    <w:lvl w:ilvl="0" w:tentative="0">
      <w:start w:val="1"/>
      <w:numFmt w:val="chineseCounting"/>
      <w:suff w:val="nothing"/>
      <w:lvlText w:val="（%1）"/>
      <w:lvlJc w:val="left"/>
      <w:pPr>
        <w:ind w:left="-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39C"/>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3BAF"/>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2021DFC"/>
    <w:rsid w:val="0486734C"/>
    <w:rsid w:val="0B894B9A"/>
    <w:rsid w:val="0F043383"/>
    <w:rsid w:val="11DE4A82"/>
    <w:rsid w:val="142F3270"/>
    <w:rsid w:val="14585534"/>
    <w:rsid w:val="158878FE"/>
    <w:rsid w:val="16BA68A7"/>
    <w:rsid w:val="196D1597"/>
    <w:rsid w:val="1B3B6406"/>
    <w:rsid w:val="1B9368C9"/>
    <w:rsid w:val="22B029FB"/>
    <w:rsid w:val="258969D0"/>
    <w:rsid w:val="28291C81"/>
    <w:rsid w:val="2FC84056"/>
    <w:rsid w:val="30DC4C83"/>
    <w:rsid w:val="31A15A39"/>
    <w:rsid w:val="35060C5F"/>
    <w:rsid w:val="35A9467C"/>
    <w:rsid w:val="3A2903D5"/>
    <w:rsid w:val="3A911203"/>
    <w:rsid w:val="3D440557"/>
    <w:rsid w:val="3E7F279C"/>
    <w:rsid w:val="3FB12C5C"/>
    <w:rsid w:val="3FBA6765"/>
    <w:rsid w:val="4148625A"/>
    <w:rsid w:val="43A52D5C"/>
    <w:rsid w:val="44DB0056"/>
    <w:rsid w:val="471C5FAE"/>
    <w:rsid w:val="4E54026B"/>
    <w:rsid w:val="4FF40162"/>
    <w:rsid w:val="510703CD"/>
    <w:rsid w:val="525D228F"/>
    <w:rsid w:val="545926D0"/>
    <w:rsid w:val="557968B2"/>
    <w:rsid w:val="56295ECB"/>
    <w:rsid w:val="5BDF0791"/>
    <w:rsid w:val="6029617B"/>
    <w:rsid w:val="63C95391"/>
    <w:rsid w:val="63CA1F0A"/>
    <w:rsid w:val="65884D79"/>
    <w:rsid w:val="682863FC"/>
    <w:rsid w:val="68450F27"/>
    <w:rsid w:val="69C322C4"/>
    <w:rsid w:val="6A4C3B69"/>
    <w:rsid w:val="6B44408A"/>
    <w:rsid w:val="6B4C2CA0"/>
    <w:rsid w:val="6E7B64E0"/>
    <w:rsid w:val="6FD510B1"/>
    <w:rsid w:val="72701812"/>
    <w:rsid w:val="72EE1FFF"/>
    <w:rsid w:val="74C02AED"/>
    <w:rsid w:val="7583671C"/>
    <w:rsid w:val="75D57B9F"/>
    <w:rsid w:val="78506906"/>
    <w:rsid w:val="78691EF8"/>
    <w:rsid w:val="79DA5189"/>
    <w:rsid w:val="7DF4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1"/>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customStyle="1" w:styleId="11">
    <w:name w:val="批注框文本 Char"/>
    <w:basedOn w:val="9"/>
    <w:link w:val="4"/>
    <w:semiHidden/>
    <w:qFormat/>
    <w:uiPriority w:val="99"/>
    <w:rPr>
      <w:sz w:val="18"/>
      <w:szCs w:val="18"/>
    </w:rPr>
  </w:style>
  <w:style w:type="character" w:customStyle="1" w:styleId="12">
    <w:name w:val="页眉 Char"/>
    <w:basedOn w:val="9"/>
    <w:link w:val="6"/>
    <w:qFormat/>
    <w:uiPriority w:val="99"/>
    <w:rPr>
      <w:sz w:val="18"/>
      <w:szCs w:val="18"/>
    </w:rPr>
  </w:style>
  <w:style w:type="character" w:customStyle="1" w:styleId="13">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20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2019-08-07T03:40:00Z</cp:lastPrinted>
  <dcterms:modified xsi:type="dcterms:W3CDTF">2020-10-27T10:27:56Z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