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bookmarkStart w:id="0" w:name="_GoBack"/>
      <w:bookmarkEnd w:id="0"/>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b/>
          <w:bCs/>
          <w:sz w:val="24"/>
          <w:szCs w:val="24"/>
        </w:rPr>
      </w:pPr>
      <w:r>
        <w:rPr>
          <w:rFonts w:hint="eastAsia" w:ascii="华文仿宋" w:hAnsi="华文仿宋" w:eastAsia="华文仿宋"/>
          <w:b/>
          <w:bCs/>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2" w:firstLineChars="200"/>
        <w:rPr>
          <w:rFonts w:ascii="华文仿宋" w:hAnsi="华文仿宋" w:eastAsia="华文仿宋"/>
          <w:b/>
          <w:bCs/>
          <w:sz w:val="24"/>
          <w:szCs w:val="24"/>
        </w:rPr>
      </w:pPr>
      <w:r>
        <w:rPr>
          <w:rFonts w:hint="eastAsia" w:ascii="仿宋" w:hAnsi="仿宋" w:eastAsia="仿宋" w:cs="方正仿宋_GBK"/>
          <w:b/>
          <w:bCs/>
          <w:color w:val="000000"/>
          <w:kern w:val="0"/>
          <w:sz w:val="24"/>
          <w:szCs w:val="24"/>
        </w:rPr>
        <w:t>请您仔细阅读风险揭示书及本产品相关的销售文件，了解理财产品的具体情况，充分认识投资风险，谨慎投资。</w:t>
      </w:r>
    </w:p>
    <w:p>
      <w:pPr>
        <w:spacing w:line="400" w:lineRule="exact"/>
        <w:ind w:firstLine="482" w:firstLineChars="200"/>
        <w:rPr>
          <w:rFonts w:ascii="仿宋" w:hAnsi="仿宋" w:eastAsia="仿宋" w:cs="方正仿宋_GBK"/>
          <w:b/>
          <w:bCs/>
          <w:color w:val="000000"/>
          <w:kern w:val="0"/>
          <w:sz w:val="24"/>
          <w:szCs w:val="24"/>
        </w:rPr>
      </w:pPr>
      <w:r>
        <w:rPr>
          <w:rFonts w:hint="eastAsia" w:ascii="仿宋" w:hAnsi="仿宋" w:eastAsia="仿宋" w:cs="方正仿宋_GBK"/>
          <w:b/>
          <w:bCs/>
          <w:color w:val="000000"/>
          <w:kern w:val="0"/>
          <w:sz w:val="24"/>
          <w:szCs w:val="24"/>
        </w:rPr>
        <w:t>本产品为封闭式净值型理财产品，</w:t>
      </w:r>
      <w:r>
        <w:rPr>
          <w:rFonts w:hint="eastAsia" w:ascii="仿宋" w:hAnsi="仿宋" w:eastAsia="仿宋" w:cs="方正仿宋_GBK"/>
          <w:b/>
          <w:bCs/>
          <w:color w:val="000000"/>
          <w:kern w:val="0"/>
          <w:sz w:val="24"/>
          <w:szCs w:val="24"/>
          <w:lang w:val="en-US" w:eastAsia="zh-CN"/>
        </w:rPr>
        <w:t xml:space="preserve"> </w:t>
      </w:r>
      <w:r>
        <w:rPr>
          <w:rFonts w:hint="eastAsia" w:ascii="仿宋" w:hAnsi="仿宋" w:eastAsia="仿宋" w:cs="方正仿宋_GBK"/>
          <w:b/>
          <w:bCs/>
          <w:color w:val="000000"/>
          <w:kern w:val="0"/>
          <w:sz w:val="24"/>
          <w:szCs w:val="24"/>
        </w:rPr>
        <w:t>期限</w:t>
      </w:r>
      <w:r>
        <w:rPr>
          <w:rFonts w:hint="eastAsia" w:ascii="仿宋" w:hAnsi="仿宋" w:eastAsia="仿宋" w:cs="方正仿宋_GBK"/>
          <w:b/>
          <w:bCs/>
          <w:color w:val="000000"/>
          <w:kern w:val="0"/>
          <w:sz w:val="24"/>
          <w:szCs w:val="24"/>
          <w:highlight w:val="none"/>
        </w:rPr>
        <w:t>：</w:t>
      </w:r>
      <w:r>
        <w:rPr>
          <w:rFonts w:hint="eastAsia" w:ascii="仿宋" w:hAnsi="仿宋" w:eastAsia="仿宋" w:cs="方正仿宋_GBK"/>
          <w:b/>
          <w:bCs/>
          <w:color w:val="000000"/>
          <w:kern w:val="0"/>
          <w:sz w:val="24"/>
          <w:szCs w:val="24"/>
          <w:highlight w:val="none"/>
          <w:lang w:val="en-US" w:eastAsia="zh-CN"/>
        </w:rPr>
        <w:t>90</w:t>
      </w:r>
      <w:r>
        <w:rPr>
          <w:rFonts w:hint="eastAsia" w:ascii="仿宋" w:hAnsi="仿宋" w:eastAsia="仿宋" w:cs="方正仿宋_GBK"/>
          <w:b/>
          <w:bCs/>
          <w:color w:val="000000"/>
          <w:kern w:val="0"/>
          <w:sz w:val="24"/>
          <w:szCs w:val="24"/>
        </w:rPr>
        <w:t>天，</w:t>
      </w:r>
      <w:r>
        <w:rPr>
          <w:rFonts w:hint="eastAsia" w:ascii="仿宋" w:hAnsi="仿宋" w:eastAsia="仿宋"/>
          <w:b/>
          <w:bCs/>
          <w:sz w:val="24"/>
          <w:szCs w:val="24"/>
        </w:rPr>
        <w:t>本理财产品不保证本金和收益，本</w:t>
      </w:r>
      <w:r>
        <w:rPr>
          <w:rFonts w:hint="eastAsia" w:ascii="仿宋" w:hAnsi="仿宋" w:eastAsia="仿宋" w:cs="方正仿宋_GBK"/>
          <w:b/>
          <w:bCs/>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94544"/>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3A83D5D"/>
    <w:rsid w:val="043B6133"/>
    <w:rsid w:val="06FF398C"/>
    <w:rsid w:val="07783F8F"/>
    <w:rsid w:val="07AE17DC"/>
    <w:rsid w:val="08186A6D"/>
    <w:rsid w:val="08963252"/>
    <w:rsid w:val="091C7FC3"/>
    <w:rsid w:val="0DAC1D4C"/>
    <w:rsid w:val="0F003CC1"/>
    <w:rsid w:val="133C6CB8"/>
    <w:rsid w:val="19140CA5"/>
    <w:rsid w:val="1CB949CD"/>
    <w:rsid w:val="20187825"/>
    <w:rsid w:val="26143FE2"/>
    <w:rsid w:val="26E837E0"/>
    <w:rsid w:val="28905623"/>
    <w:rsid w:val="2A48533C"/>
    <w:rsid w:val="2E5C5887"/>
    <w:rsid w:val="345B563C"/>
    <w:rsid w:val="35BB1B81"/>
    <w:rsid w:val="3D7A1A48"/>
    <w:rsid w:val="3DBA4743"/>
    <w:rsid w:val="3F533B77"/>
    <w:rsid w:val="40CC1C85"/>
    <w:rsid w:val="435A1985"/>
    <w:rsid w:val="4E8477F6"/>
    <w:rsid w:val="50657F53"/>
    <w:rsid w:val="60325265"/>
    <w:rsid w:val="633B365B"/>
    <w:rsid w:val="66F62517"/>
    <w:rsid w:val="6C293EA4"/>
    <w:rsid w:val="6C982CE1"/>
    <w:rsid w:val="70AA4656"/>
    <w:rsid w:val="72A6450C"/>
    <w:rsid w:val="74616800"/>
    <w:rsid w:val="76217A0F"/>
    <w:rsid w:val="76962771"/>
    <w:rsid w:val="786B040F"/>
    <w:rsid w:val="78AD3CFB"/>
    <w:rsid w:val="79172E1C"/>
    <w:rsid w:val="7BE21F89"/>
    <w:rsid w:val="7CFB6234"/>
    <w:rsid w:val="7E19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1</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2020-11-18T06:32:46Z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