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新疆银行净值型人民币理财产品风险揭示书</w:t>
      </w:r>
    </w:p>
    <w:p>
      <w:pPr>
        <w:spacing w:line="400" w:lineRule="exact"/>
        <w:jc w:val="center"/>
        <w:rPr>
          <w:rStyle w:val="7"/>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理财产品过往业绩不代表其未来表现，不等于理财产品实际收益</w:t>
      </w:r>
      <w:r>
        <w:rPr>
          <w:rStyle w:val="7"/>
          <w:rFonts w:hint="eastAsia" w:ascii="黑体" w:hAnsi="黑体" w:eastAsia="黑体" w:cs="黑体"/>
          <w:b/>
          <w:bCs/>
          <w:sz w:val="24"/>
          <w:szCs w:val="24"/>
        </w:rPr>
        <w:t xml:space="preserve"> </w:t>
      </w:r>
    </w:p>
    <w:p>
      <w:pPr>
        <w:widowControl/>
        <w:spacing w:line="400" w:lineRule="exact"/>
        <w:jc w:val="center"/>
        <w:rPr>
          <w:rFonts w:hint="eastAsia" w:ascii="黑体" w:hAnsi="黑体" w:eastAsia="黑体" w:cs="黑体"/>
          <w:b/>
          <w:bCs/>
          <w:kern w:val="0"/>
          <w:sz w:val="24"/>
          <w:szCs w:val="24"/>
        </w:rPr>
      </w:pPr>
      <w:r>
        <w:rPr>
          <w:rStyle w:val="7"/>
          <w:rFonts w:hint="eastAsia" w:ascii="黑体" w:hAnsi="黑体" w:eastAsia="黑体" w:cs="黑体"/>
          <w:b/>
          <w:bCs/>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highlight w:val="none"/>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lang w:eastAsia="zh-CN"/>
        </w:rPr>
        <w:t>：</w:t>
      </w:r>
      <w:r>
        <w:rPr>
          <w:rFonts w:hint="eastAsia" w:ascii="黑体" w:hAnsi="黑体" w:eastAsia="黑体" w:cs="黑体"/>
          <w:b/>
          <w:bCs/>
          <w:color w:val="000000"/>
          <w:kern w:val="0"/>
          <w:sz w:val="24"/>
          <w:szCs w:val="24"/>
          <w:lang w:val="en-US" w:eastAsia="zh-CN"/>
        </w:rPr>
        <w:t>104</w:t>
      </w:r>
      <w:r>
        <w:rPr>
          <w:rFonts w:hint="eastAsia" w:ascii="黑体" w:hAnsi="黑体" w:eastAsia="黑体" w:cs="黑体"/>
          <w:b/>
          <w:bCs/>
          <w:color w:val="000000"/>
          <w:kern w:val="0"/>
          <w:sz w:val="24"/>
          <w:szCs w:val="24"/>
        </w:rPr>
        <w:t>天</w:t>
      </w:r>
      <w:r>
        <w:rPr>
          <w:rFonts w:hint="eastAsia" w:ascii="黑体" w:hAnsi="黑体" w:eastAsia="黑体" w:cs="黑体"/>
          <w:b/>
          <w:bCs/>
          <w:color w:val="000000"/>
          <w:kern w:val="0"/>
          <w:sz w:val="24"/>
          <w:szCs w:val="24"/>
          <w:highlight w:val="none"/>
        </w:rPr>
        <w:t>，</w:t>
      </w:r>
      <w:r>
        <w:rPr>
          <w:rFonts w:hint="eastAsia" w:ascii="黑体" w:hAnsi="黑体" w:eastAsia="黑体" w:cs="黑体"/>
          <w:b/>
          <w:bCs/>
          <w:sz w:val="24"/>
          <w:szCs w:val="24"/>
          <w:highlight w:val="none"/>
        </w:rPr>
        <w:t>本产品不保证本金和收益，</w:t>
      </w:r>
      <w:r>
        <w:rPr>
          <w:rFonts w:hint="eastAsia" w:ascii="黑体" w:hAnsi="黑体" w:eastAsia="黑体" w:cs="黑体"/>
          <w:b/>
          <w:bCs/>
          <w:sz w:val="24"/>
          <w:szCs w:val="24"/>
          <w:highlight w:val="none"/>
          <w:lang w:eastAsia="zh-CN"/>
        </w:rPr>
        <w:t>本产品的任何测算收益或类似表述均属不具有法律约束力的用语，不代表您可能获得的实际收益，亦不构成新疆银行对本产品的任何收益承诺。请您充分认识投资风险，谨慎投资。</w:t>
      </w:r>
      <w:r>
        <w:rPr>
          <w:rFonts w:hint="eastAsia" w:ascii="黑体" w:hAnsi="黑体" w:eastAsia="黑体" w:cs="黑体"/>
          <w:b/>
          <w:bCs/>
          <w:sz w:val="24"/>
          <w:szCs w:val="24"/>
          <w:highlight w:val="none"/>
        </w:rPr>
        <w:t>本</w:t>
      </w:r>
      <w:r>
        <w:rPr>
          <w:rFonts w:hint="eastAsia" w:ascii="黑体" w:hAnsi="黑体" w:eastAsia="黑体" w:cs="黑体"/>
          <w:b/>
          <w:bCs/>
          <w:color w:val="000000"/>
          <w:kern w:val="0"/>
          <w:sz w:val="24"/>
          <w:szCs w:val="24"/>
          <w:highlight w:val="none"/>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r>
        <w:rPr>
          <w:rFonts w:hint="eastAsia" w:ascii="仿宋" w:hAnsi="仿宋" w:eastAsia="仿宋" w:cs="方正仿宋_GBK"/>
          <w:b/>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w:t>
      </w:r>
      <w:bookmarkStart w:id="0" w:name="_GoBack"/>
      <w:bookmarkEnd w:id="0"/>
      <w:r>
        <w:rPr>
          <w:rFonts w:hint="eastAsia" w:ascii="黑体" w:hAnsi="黑体" w:eastAsia="黑体" w:cs="黑体"/>
          <w:b/>
          <w:sz w:val="24"/>
          <w:szCs w:val="24"/>
        </w:rPr>
        <w:t>，客户最终收益为： 100,000.00×（ 0.99-1.00） = -1000（元）（测算收益不等于实际收益，投资须谨慎）</w:t>
      </w:r>
    </w:p>
    <w:p>
      <w:pPr>
        <w:spacing w:line="400" w:lineRule="exact"/>
        <w:ind w:firstLine="4560" w:firstLineChars="1900"/>
        <w:rPr>
          <w:rFonts w:hint="eastAsia" w:ascii="黑体" w:hAnsi="黑体" w:eastAsia="黑体" w:cs="黑体"/>
          <w:b/>
          <w:sz w:val="24"/>
          <w:szCs w:val="24"/>
        </w:rPr>
      </w:pPr>
      <w:r>
        <w:rPr>
          <w:rFonts w:hint="eastAsia" w:ascii="黑体" w:hAnsi="黑体" w:eastAsia="黑体" w:cs="黑体"/>
          <w:sz w:val="24"/>
          <w:szCs w:val="24"/>
        </w:rPr>
        <mc:AlternateContent>
          <mc:Choice Requires="wps">
            <w:drawing>
              <wp:anchor distT="0" distB="0" distL="114300" distR="114300" simplePos="0" relativeHeight="251658240" behindDoc="0" locked="0" layoutInCell="1" allowOverlap="1">
                <wp:simplePos x="0" y="0"/>
                <wp:positionH relativeFrom="column">
                  <wp:posOffset>-628650</wp:posOffset>
                </wp:positionH>
                <wp:positionV relativeFrom="paragraph">
                  <wp:posOffset>358140</wp:posOffset>
                </wp:positionV>
                <wp:extent cx="6753225" cy="3552825"/>
                <wp:effectExtent l="5080" t="4445" r="4445" b="5080"/>
                <wp:wrapNone/>
                <wp:docPr id="2" name="文本框 2"/>
                <wp:cNvGraphicFramePr/>
                <a:graphic xmlns:a="http://schemas.openxmlformats.org/drawingml/2006/main">
                  <a:graphicData uri="http://schemas.microsoft.com/office/word/2010/wordprocessingShape">
                    <wps:wsp>
                      <wps:cNvSpPr txBox="1"/>
                      <wps:spPr>
                        <a:xfrm>
                          <a:off x="0" y="0"/>
                          <a:ext cx="6753225" cy="355282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wps:txbx>
                      <wps:bodyPr upright="1"/>
                    </wps:wsp>
                  </a:graphicData>
                </a:graphic>
              </wp:anchor>
            </w:drawing>
          </mc:Choice>
          <mc:Fallback>
            <w:pict>
              <v:shape id="_x0000_s1026" o:spid="_x0000_s1026" o:spt="202" type="#_x0000_t202" style="position:absolute;left:0pt;margin-left:-49.5pt;margin-top:28.2pt;height:279.75pt;width:531.75pt;z-index:251658240;mso-width-relative:page;mso-height-relative:page;" fillcolor="#FFFFFF" filled="t" stroked="t" coordsize="21600,21600" o:gfxdata="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grF+FtoAAAAKAQAADwAAAAAAAAABACAAAAAiAAAAZHJzL2Rvd25yZXYueG1s&#10;UEsBAhQAFAAAAAgAh07iQLXsPjn2AQAA9wMAAA4AAAAAAAAAAQAgAAAAKQEAAGRycy9lMm9Eb2Mu&#10;eG1sUEsFBgAAAAAGAAYAWQEAAJEFAAAAAA==&#10;">
                <v:fill on="t" focussize="0,0"/>
                <v:stroke color="#000000" joinstyle="miter"/>
                <v:imagedata o:title=""/>
                <o:lock v:ext="edit" aspectratio="f"/>
                <v:textbox>
                  <w:txbxContent>
                    <w:p>
                      <w:pPr>
                        <w:widowControl/>
                        <w:wordWrap w:val="0"/>
                        <w:spacing w:before="75" w:after="75" w:line="400" w:lineRule="exact"/>
                        <w:ind w:firstLine="482" w:firstLineChars="200"/>
                        <w:jc w:val="center"/>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lang w:eastAsia="zh-CN"/>
                        </w:rPr>
                        <w:t>新疆银行已就产品销售文件的全部条款和内容向本人进行了详细的说明和解释，本人已不存在任何疑问或异议，并对协议双方的权利、义务及风险有全面、准确的理解，充分了解并愿意承担本理财产品的风险。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客户确认风险承受能力评级（由客户填写）：</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□保守型、□稳健型、□平衡型、□成长型、□进取型</w:t>
                      </w:r>
                    </w:p>
                    <w:p>
                      <w:pPr>
                        <w:spacing w:line="360" w:lineRule="exact"/>
                        <w:ind w:firstLine="420" w:firstLineChars="200"/>
                        <w:rPr>
                          <w:rFonts w:hint="eastAsia" w:ascii="黑体" w:hAnsi="黑体" w:eastAsia="黑体" w:cs="黑体"/>
                          <w:sz w:val="24"/>
                          <w:szCs w:val="24"/>
                        </w:rPr>
                      </w:pPr>
                      <w:r>
                        <w:rPr>
                          <w:rFonts w:hint="eastAsia" w:ascii="华文仿宋" w:hAnsi="华文仿宋" w:eastAsia="华文仿宋" w:cs="Times New Roman"/>
                          <w:szCs w:val="21"/>
                        </w:rPr>
                        <w:t>客户需抄录的内容：</w:t>
                      </w:r>
                      <w:r>
                        <w:rPr>
                          <w:rFonts w:hint="eastAsia" w:ascii="黑体" w:hAnsi="黑体" w:eastAsia="黑体" w:cs="黑体"/>
                          <w:b/>
                          <w:sz w:val="24"/>
                          <w:szCs w:val="24"/>
                        </w:rPr>
                        <w:t>本人已经阅读风险揭示，愿意承担投资风险。</w:t>
                      </w:r>
                    </w:p>
                    <w:p>
                      <w:pPr>
                        <w:spacing w:line="360" w:lineRule="exact"/>
                        <w:ind w:firstLine="420" w:firstLineChars="200"/>
                        <w:rPr>
                          <w:rFonts w:ascii="华文仿宋" w:hAnsi="华文仿宋" w:eastAsia="华文仿宋" w:cs="Times New Roman"/>
                          <w:szCs w:val="21"/>
                        </w:rPr>
                      </w:pPr>
                      <w:r>
                        <w:rPr>
                          <w:rFonts w:hint="eastAsia" w:ascii="华文仿宋" w:hAnsi="华文仿宋" w:eastAsia="华文仿宋" w:cs="Times New Roman"/>
                          <w:szCs w:val="21"/>
                        </w:rPr>
                        <w:t>请客户在此抄录：</w:t>
                      </w:r>
                      <w:r>
                        <w:rPr>
                          <w:rFonts w:hint="eastAsia" w:ascii="华文仿宋" w:hAnsi="华文仿宋" w:eastAsia="华文仿宋" w:cs="Times New Roman"/>
                          <w:szCs w:val="21"/>
                          <w:u w:val="single"/>
                        </w:rPr>
                        <w:t xml:space="preserve">                                                      </w:t>
                      </w:r>
                      <w:r>
                        <w:rPr>
                          <w:rFonts w:hint="eastAsia" w:ascii="华文仿宋" w:hAnsi="华文仿宋" w:eastAsia="华文仿宋" w:cs="Times New Roman"/>
                          <w:szCs w:val="21"/>
                        </w:rPr>
                        <w:t xml:space="preserve">       </w:t>
                      </w:r>
                    </w:p>
                    <w:p>
                      <w:pPr>
                        <w:ind w:left="4200" w:firstLine="420"/>
                        <w:rPr>
                          <w:rFonts w:ascii="宋体" w:hAnsi="宋体" w:cs="Arial"/>
                          <w:szCs w:val="21"/>
                        </w:rPr>
                      </w:pPr>
                      <w:r>
                        <w:rPr>
                          <w:rFonts w:hint="eastAsia" w:ascii="宋体" w:hAnsi="宋体" w:cs="Arial"/>
                          <w:szCs w:val="21"/>
                        </w:rPr>
                        <w:t>客户签字：</w:t>
                      </w:r>
                    </w:p>
                    <w:p>
                      <w:pPr>
                        <w:ind w:left="4200" w:firstLine="420"/>
                        <w:rPr>
                          <w:rFonts w:ascii="宋体" w:cs="Arial"/>
                          <w:szCs w:val="21"/>
                        </w:rPr>
                      </w:pPr>
                      <w:r>
                        <w:rPr>
                          <w:rFonts w:hint="eastAsia" w:ascii="宋体" w:hAnsi="宋体" w:cs="Arial"/>
                          <w:szCs w:val="21"/>
                        </w:rPr>
                        <w:t>日    期：</w:t>
                      </w:r>
                    </w:p>
                  </w:txbxContent>
                </v:textbox>
              </v:shape>
            </w:pict>
          </mc:Fallback>
        </mc:AlternateContent>
      </w:r>
      <w:r>
        <w:rPr>
          <w:rFonts w:hint="eastAsia" w:ascii="黑体" w:hAnsi="黑体" w:eastAsia="黑体" w:cs="黑体"/>
          <w:b/>
          <w:sz w:val="24"/>
          <w:szCs w:val="24"/>
        </w:rPr>
        <w:t>风险揭示方：新疆银行股份有限公司</w:t>
      </w: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1540EF5"/>
    <w:rsid w:val="01702608"/>
    <w:rsid w:val="04EF4161"/>
    <w:rsid w:val="06FF398C"/>
    <w:rsid w:val="07783F8F"/>
    <w:rsid w:val="07AE17DC"/>
    <w:rsid w:val="0DA14726"/>
    <w:rsid w:val="0DAC1D4C"/>
    <w:rsid w:val="0F4E0E8F"/>
    <w:rsid w:val="12A163A1"/>
    <w:rsid w:val="130A2ED6"/>
    <w:rsid w:val="133C6CB8"/>
    <w:rsid w:val="19140CA5"/>
    <w:rsid w:val="1CB949CD"/>
    <w:rsid w:val="1E673F7C"/>
    <w:rsid w:val="20187825"/>
    <w:rsid w:val="267B1228"/>
    <w:rsid w:val="26E837E0"/>
    <w:rsid w:val="273C4063"/>
    <w:rsid w:val="28905623"/>
    <w:rsid w:val="2A48533C"/>
    <w:rsid w:val="314A0806"/>
    <w:rsid w:val="345B563C"/>
    <w:rsid w:val="35BB1B81"/>
    <w:rsid w:val="3D7A1A48"/>
    <w:rsid w:val="3F533B77"/>
    <w:rsid w:val="4127657A"/>
    <w:rsid w:val="41361F99"/>
    <w:rsid w:val="53CC271C"/>
    <w:rsid w:val="55B57282"/>
    <w:rsid w:val="55C6312C"/>
    <w:rsid w:val="57085ED8"/>
    <w:rsid w:val="5A972F7C"/>
    <w:rsid w:val="5B0233E1"/>
    <w:rsid w:val="5D2E2CCD"/>
    <w:rsid w:val="63835D8A"/>
    <w:rsid w:val="691B054D"/>
    <w:rsid w:val="6C293EA4"/>
    <w:rsid w:val="72B822F0"/>
    <w:rsid w:val="76217A0F"/>
    <w:rsid w:val="76AF4092"/>
    <w:rsid w:val="775675C1"/>
    <w:rsid w:val="784C23AE"/>
    <w:rsid w:val="786B040F"/>
    <w:rsid w:val="7BE21F89"/>
    <w:rsid w:val="7CFB6234"/>
    <w:rsid w:val="7E194A27"/>
    <w:rsid w:val="7F7D6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169</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2021-01-06T03:01:51Z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