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kern w:val="0"/>
          <w:sz w:val="24"/>
          <w:szCs w:val="24"/>
        </w:rPr>
      </w:pPr>
      <w:r>
        <w:rPr>
          <w:rStyle w:val="7"/>
          <w:rFonts w:hint="eastAsia" w:ascii="黑体" w:hAnsi="黑体" w:eastAsia="黑体" w:cs="黑体"/>
          <w:kern w:val="0"/>
          <w:sz w:val="24"/>
          <w:szCs w:val="24"/>
        </w:rPr>
        <w:t>理财产品过往业绩不代表其未来表现，不等于理财产品实际收益</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highlight w:val="none"/>
        </w:rPr>
        <w:t>本产品为定期开放式净值型理财产品，开放周期为：</w:t>
      </w:r>
      <w:r>
        <w:rPr>
          <w:rFonts w:hint="eastAsia" w:ascii="黑体" w:hAnsi="黑体" w:eastAsia="黑体" w:cs="黑体"/>
          <w:b/>
          <w:bCs/>
          <w:color w:val="000000"/>
          <w:kern w:val="0"/>
          <w:sz w:val="24"/>
          <w:szCs w:val="24"/>
          <w:highlight w:val="none"/>
          <w:lang w:val="en-US" w:eastAsia="zh-CN"/>
        </w:rPr>
        <w:t>35</w:t>
      </w:r>
      <w:r>
        <w:rPr>
          <w:rFonts w:hint="eastAsia" w:ascii="黑体" w:hAnsi="黑体" w:eastAsia="黑体" w:cs="黑体"/>
          <w:b/>
          <w:bCs/>
          <w:color w:val="000000"/>
          <w:kern w:val="0"/>
          <w:sz w:val="24"/>
          <w:szCs w:val="24"/>
          <w:highlight w:val="none"/>
        </w:rPr>
        <w:t>天，</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970" w:type="dxa"/>
        <w:tblInd w:w="69" w:type="dxa"/>
        <w:tblLayout w:type="fixed"/>
        <w:tblCellMar>
          <w:top w:w="15" w:type="dxa"/>
          <w:left w:w="108" w:type="dxa"/>
          <w:bottom w:w="15" w:type="dxa"/>
          <w:right w:w="108" w:type="dxa"/>
        </w:tblCellMar>
      </w:tblPr>
      <w:tblGrid>
        <w:gridCol w:w="1315"/>
        <w:gridCol w:w="708"/>
        <w:gridCol w:w="993"/>
        <w:gridCol w:w="4394"/>
        <w:gridCol w:w="1560"/>
      </w:tblGrid>
      <w:tr>
        <w:tblPrEx>
          <w:tblCellMar>
            <w:top w:w="15" w:type="dxa"/>
            <w:left w:w="108" w:type="dxa"/>
            <w:bottom w:w="15" w:type="dxa"/>
            <w:right w:w="108" w:type="dxa"/>
          </w:tblCellMar>
        </w:tblPrEx>
        <w:trPr>
          <w:trHeight w:val="836" w:hRule="atLeast"/>
        </w:trPr>
        <w:tc>
          <w:tcPr>
            <w:tcW w:w="1315"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1315"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1315"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541" w:firstLineChars="300"/>
              <w:rPr>
                <w:rFonts w:ascii="华文仿宋" w:hAnsi="华文仿宋" w:eastAsia="华文仿宋"/>
                <w:kern w:val="44"/>
                <w:sz w:val="18"/>
                <w:szCs w:val="18"/>
              </w:rPr>
            </w:pPr>
            <w:r>
              <w:rPr>
                <w:rFonts w:hint="eastAsia" w:ascii="华文仿宋" w:hAnsi="华文仿宋" w:eastAsia="华文仿宋"/>
                <w:b/>
                <w:bCs/>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1315"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1315"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1315"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hint="eastAsia" w:ascii="黑体" w:hAnsi="黑体" w:eastAsia="黑体" w:cs="黑体"/>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在本理财计划存续期内，投资者只能在本产品说明书规定的赎回期内办理赎回，除此之外，投资资者不享有赎回权利。除本产品说明书另有约定外，在投资周期内客户无提前终止权，如果客户在投资周期内产生流动性需求，新疆银行有权拒绝赎回申请，客户可能面临理财产品不能随时变现的流动性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 xml:space="preserve"> 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highlight w:val="none"/>
          <w:lang w:eastAsia="zh-CN"/>
        </w:rPr>
        <w:t>非新疆银行原因的</w:t>
      </w:r>
      <w:r>
        <w:rPr>
          <w:rFonts w:hint="eastAsia" w:ascii="华文仿宋" w:hAnsi="华文仿宋" w:eastAsia="华文仿宋"/>
          <w:sz w:val="24"/>
          <w:szCs w:val="24"/>
          <w:highlight w:val="none"/>
        </w:rPr>
        <w:t>系</w:t>
      </w:r>
      <w:r>
        <w:rPr>
          <w:rFonts w:hint="eastAsia" w:ascii="华文仿宋" w:hAnsi="华文仿宋" w:eastAsia="华文仿宋"/>
          <w:sz w:val="24"/>
          <w:szCs w:val="24"/>
        </w:rPr>
        <w:t>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w:t>
      </w:r>
      <w:bookmarkStart w:id="0" w:name="_GoBack"/>
      <w:bookmarkEnd w:id="0"/>
      <w:r>
        <w:rPr>
          <w:rFonts w:hint="eastAsia" w:ascii="黑体" w:hAnsi="黑体" w:eastAsia="黑体" w:cs="黑体"/>
          <w:b/>
          <w:sz w:val="24"/>
          <w:szCs w:val="24"/>
        </w:rPr>
        <w:t>、托管费、固定管理费后，如产品净值为0.99，则投资管理人不收取浮动管理费，客户最终收益为：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若在资产组合项下资产全部亏损的最不利情况下，理财计划本金将全部损失。</w:t>
      </w:r>
    </w:p>
    <w:p>
      <w:pPr>
        <w:widowControl/>
        <w:wordWrap w:val="0"/>
        <w:spacing w:before="75" w:after="75" w:line="400" w:lineRule="exact"/>
        <w:ind w:firstLine="482" w:firstLineChars="200"/>
        <w:jc w:val="left"/>
        <w:rPr>
          <w:rFonts w:hint="eastAsia" w:ascii="黑体" w:hAnsi="黑体" w:eastAsia="黑体" w:cs="黑体"/>
          <w:b/>
          <w:sz w:val="24"/>
          <w:szCs w:val="24"/>
        </w:rPr>
      </w:pPr>
    </w:p>
    <w:p>
      <w:pPr>
        <w:spacing w:line="400" w:lineRule="exact"/>
        <w:ind w:firstLine="4560" w:firstLineChars="1900"/>
        <w:rPr>
          <w:rFonts w:ascii="华文仿宋" w:hAnsi="华文仿宋" w:eastAsia="华文仿宋"/>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2"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exact"/>
                              <w:jc w:val="center"/>
                              <w:rPr>
                                <w:rFonts w:hint="eastAsia" w:ascii="黑体" w:hAnsi="黑体" w:eastAsia="黑体" w:cs="黑体"/>
                                <w:b/>
                                <w:sz w:val="24"/>
                                <w:szCs w:val="24"/>
                                <w:highlight w:val="none"/>
                              </w:rPr>
                            </w:pPr>
                            <w:r>
                              <w:rPr>
                                <w:rFonts w:hint="eastAsia" w:ascii="黑体" w:hAnsi="黑体" w:eastAsia="黑体" w:cs="黑体"/>
                                <w:b/>
                                <w:sz w:val="24"/>
                                <w:szCs w:val="24"/>
                                <w:highlight w:val="none"/>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客户确认风险承受能力评级（由客户填写）：</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□保守型、□稳健型、□平衡型、□成长型、□进取型</w:t>
                            </w:r>
                          </w:p>
                          <w:p>
                            <w:pPr>
                              <w:spacing w:line="360" w:lineRule="exact"/>
                              <w:ind w:firstLine="420" w:firstLineChars="200"/>
                              <w:rPr>
                                <w:rFonts w:hint="eastAsia" w:ascii="黑体" w:hAnsi="黑体" w:eastAsia="黑体" w:cs="黑体"/>
                                <w:sz w:val="24"/>
                                <w:szCs w:val="24"/>
                                <w:highlight w:val="none"/>
                              </w:rPr>
                            </w:pPr>
                            <w:r>
                              <w:rPr>
                                <w:rFonts w:hint="eastAsia" w:ascii="华文仿宋" w:hAnsi="华文仿宋" w:eastAsia="华文仿宋" w:cs="Times New Roman"/>
                                <w:szCs w:val="21"/>
                                <w:highlight w:val="none"/>
                              </w:rPr>
                              <w:t>客户需抄录的内容：</w:t>
                            </w:r>
                            <w:r>
                              <w:rPr>
                                <w:rFonts w:hint="eastAsia" w:ascii="黑体" w:hAnsi="黑体" w:eastAsia="黑体" w:cs="黑体"/>
                                <w:b/>
                                <w:sz w:val="24"/>
                                <w:szCs w:val="24"/>
                                <w:highlight w:val="none"/>
                              </w:rPr>
                              <w:t>本人已经阅读风险揭示，愿意承担投资风险。</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请客户在此抄录：</w:t>
                            </w:r>
                            <w:r>
                              <w:rPr>
                                <w:rFonts w:hint="eastAsia" w:ascii="华文仿宋" w:hAnsi="华文仿宋" w:eastAsia="华文仿宋" w:cs="Times New Roman"/>
                                <w:szCs w:val="21"/>
                                <w:highlight w:val="none"/>
                                <w:u w:val="single"/>
                              </w:rPr>
                              <w:t xml:space="preserve">                                                      </w:t>
                            </w:r>
                            <w:r>
                              <w:rPr>
                                <w:rFonts w:hint="eastAsia" w:ascii="华文仿宋" w:hAnsi="华文仿宋" w:eastAsia="华文仿宋" w:cs="Times New Roman"/>
                                <w:szCs w:val="21"/>
                                <w:highlight w:val="none"/>
                              </w:rPr>
                              <w:t xml:space="preserve">       </w:t>
                            </w:r>
                          </w:p>
                          <w:p>
                            <w:pPr>
                              <w:ind w:left="4200" w:firstLine="420"/>
                              <w:rPr>
                                <w:rFonts w:ascii="宋体" w:hAnsi="宋体" w:cs="Arial"/>
                                <w:szCs w:val="21"/>
                                <w:highlight w:val="none"/>
                              </w:rPr>
                            </w:pPr>
                            <w:r>
                              <w:rPr>
                                <w:rFonts w:hint="eastAsia" w:ascii="宋体" w:hAnsi="宋体" w:cs="Arial"/>
                                <w:szCs w:val="21"/>
                                <w:highlight w:val="none"/>
                              </w:rPr>
                              <w:t>客户签字：</w:t>
                            </w:r>
                          </w:p>
                          <w:p>
                            <w:pPr>
                              <w:ind w:left="4200" w:firstLine="420"/>
                              <w:rPr>
                                <w:rFonts w:ascii="宋体" w:cs="Arial"/>
                                <w:szCs w:val="21"/>
                                <w:highlight w:val="none"/>
                              </w:rPr>
                            </w:pPr>
                            <w:r>
                              <w:rPr>
                                <w:rFonts w:hint="eastAsia" w:ascii="宋体" w:hAnsi="宋体" w:cs="Arial"/>
                                <w:szCs w:val="21"/>
                                <w:highlight w:val="none"/>
                              </w:rPr>
                              <w:t>日    期：</w:t>
                            </w:r>
                          </w:p>
                          <w:p/>
                        </w:txbxContent>
                      </wps:txbx>
                      <wps:bodyPr upright="1"/>
                    </wps:wsp>
                  </a:graphicData>
                </a:graphic>
              </wp:anchor>
            </w:drawing>
          </mc:Choice>
          <mc:Fallback>
            <w:pict>
              <v:shape id="_x0000_s1026"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LXsPjn2AQAA9wMAAA4AAAAAAAAAAQAgAAAAKQEAAGRycy9lMm9Eb2Mu&#10;eG1sUEsFBgAAAAAGAAYAWQEAAJEFAAAAAA==&#10;">
                <v:fill on="t" focussize="0,0"/>
                <v:stroke color="#000000" joinstyle="miter"/>
                <v:imagedata o:title=""/>
                <o:lock v:ext="edit" aspectratio="f"/>
                <v:textbox>
                  <w:txbxContent>
                    <w:p>
                      <w:pPr>
                        <w:spacing w:line="360" w:lineRule="exact"/>
                        <w:jc w:val="center"/>
                        <w:rPr>
                          <w:rFonts w:hint="eastAsia" w:ascii="黑体" w:hAnsi="黑体" w:eastAsia="黑体" w:cs="黑体"/>
                          <w:b/>
                          <w:sz w:val="24"/>
                          <w:szCs w:val="24"/>
                          <w:highlight w:val="none"/>
                        </w:rPr>
                      </w:pPr>
                      <w:r>
                        <w:rPr>
                          <w:rFonts w:hint="eastAsia" w:ascii="黑体" w:hAnsi="黑体" w:eastAsia="黑体" w:cs="黑体"/>
                          <w:b/>
                          <w:sz w:val="24"/>
                          <w:szCs w:val="24"/>
                          <w:highlight w:val="none"/>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客户确认风险承受能力评级（由客户填写）：</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□保守型、□稳健型、□平衡型、□成长型、□进取型</w:t>
                      </w:r>
                    </w:p>
                    <w:p>
                      <w:pPr>
                        <w:spacing w:line="360" w:lineRule="exact"/>
                        <w:ind w:firstLine="420" w:firstLineChars="200"/>
                        <w:rPr>
                          <w:rFonts w:hint="eastAsia" w:ascii="黑体" w:hAnsi="黑体" w:eastAsia="黑体" w:cs="黑体"/>
                          <w:sz w:val="24"/>
                          <w:szCs w:val="24"/>
                          <w:highlight w:val="none"/>
                        </w:rPr>
                      </w:pPr>
                      <w:r>
                        <w:rPr>
                          <w:rFonts w:hint="eastAsia" w:ascii="华文仿宋" w:hAnsi="华文仿宋" w:eastAsia="华文仿宋" w:cs="Times New Roman"/>
                          <w:szCs w:val="21"/>
                          <w:highlight w:val="none"/>
                        </w:rPr>
                        <w:t>客户需抄录的内容：</w:t>
                      </w:r>
                      <w:r>
                        <w:rPr>
                          <w:rFonts w:hint="eastAsia" w:ascii="黑体" w:hAnsi="黑体" w:eastAsia="黑体" w:cs="黑体"/>
                          <w:b/>
                          <w:sz w:val="24"/>
                          <w:szCs w:val="24"/>
                          <w:highlight w:val="none"/>
                        </w:rPr>
                        <w:t>本人已经阅读风险揭示，愿意承担投资风险。</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请客户在此抄录：</w:t>
                      </w:r>
                      <w:r>
                        <w:rPr>
                          <w:rFonts w:hint="eastAsia" w:ascii="华文仿宋" w:hAnsi="华文仿宋" w:eastAsia="华文仿宋" w:cs="Times New Roman"/>
                          <w:szCs w:val="21"/>
                          <w:highlight w:val="none"/>
                          <w:u w:val="single"/>
                        </w:rPr>
                        <w:t xml:space="preserve">                                                      </w:t>
                      </w:r>
                      <w:r>
                        <w:rPr>
                          <w:rFonts w:hint="eastAsia" w:ascii="华文仿宋" w:hAnsi="华文仿宋" w:eastAsia="华文仿宋" w:cs="Times New Roman"/>
                          <w:szCs w:val="21"/>
                          <w:highlight w:val="none"/>
                        </w:rPr>
                        <w:t xml:space="preserve">       </w:t>
                      </w:r>
                    </w:p>
                    <w:p>
                      <w:pPr>
                        <w:ind w:left="4200" w:firstLine="420"/>
                        <w:rPr>
                          <w:rFonts w:ascii="宋体" w:hAnsi="宋体" w:cs="Arial"/>
                          <w:szCs w:val="21"/>
                          <w:highlight w:val="none"/>
                        </w:rPr>
                      </w:pPr>
                      <w:r>
                        <w:rPr>
                          <w:rFonts w:hint="eastAsia" w:ascii="宋体" w:hAnsi="宋体" w:cs="Arial"/>
                          <w:szCs w:val="21"/>
                          <w:highlight w:val="none"/>
                        </w:rPr>
                        <w:t>客户签字：</w:t>
                      </w:r>
                    </w:p>
                    <w:p>
                      <w:pPr>
                        <w:ind w:left="4200" w:firstLine="420"/>
                        <w:rPr>
                          <w:rFonts w:ascii="宋体" w:cs="Arial"/>
                          <w:szCs w:val="21"/>
                          <w:highlight w:val="none"/>
                        </w:rPr>
                      </w:pPr>
                      <w:r>
                        <w:rPr>
                          <w:rFonts w:hint="eastAsia" w:ascii="宋体" w:hAnsi="宋体" w:cs="Arial"/>
                          <w:szCs w:val="21"/>
                          <w:highlight w:val="none"/>
                        </w:rPr>
                        <w:t>日    期：</w:t>
                      </w:r>
                    </w:p>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69700"/>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43F9D"/>
    <w:rsid w:val="00151301"/>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6076F"/>
    <w:rsid w:val="002A632E"/>
    <w:rsid w:val="002C5ACA"/>
    <w:rsid w:val="002E21A5"/>
    <w:rsid w:val="002E58B1"/>
    <w:rsid w:val="002E728A"/>
    <w:rsid w:val="002F16A7"/>
    <w:rsid w:val="00302C35"/>
    <w:rsid w:val="00310ED5"/>
    <w:rsid w:val="003117E3"/>
    <w:rsid w:val="00323FEB"/>
    <w:rsid w:val="0034614A"/>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77939"/>
    <w:rsid w:val="00584DBD"/>
    <w:rsid w:val="00590AA0"/>
    <w:rsid w:val="005E5552"/>
    <w:rsid w:val="00620AAA"/>
    <w:rsid w:val="00621B92"/>
    <w:rsid w:val="0062219B"/>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7678D"/>
    <w:rsid w:val="00784311"/>
    <w:rsid w:val="007C287F"/>
    <w:rsid w:val="007D32C2"/>
    <w:rsid w:val="007E5C50"/>
    <w:rsid w:val="007F0572"/>
    <w:rsid w:val="007F564D"/>
    <w:rsid w:val="008240F9"/>
    <w:rsid w:val="00826261"/>
    <w:rsid w:val="00850881"/>
    <w:rsid w:val="00870C64"/>
    <w:rsid w:val="008A02B2"/>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811D4"/>
    <w:rsid w:val="009A6C27"/>
    <w:rsid w:val="009A7BC5"/>
    <w:rsid w:val="009C4BC4"/>
    <w:rsid w:val="009D128D"/>
    <w:rsid w:val="009D1EED"/>
    <w:rsid w:val="009E3E53"/>
    <w:rsid w:val="009F3D45"/>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73ACA"/>
    <w:rsid w:val="00B848FE"/>
    <w:rsid w:val="00B97A50"/>
    <w:rsid w:val="00BA48B5"/>
    <w:rsid w:val="00BA520B"/>
    <w:rsid w:val="00C22B9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0252"/>
    <w:rsid w:val="00F31F18"/>
    <w:rsid w:val="00F36084"/>
    <w:rsid w:val="00F502C0"/>
    <w:rsid w:val="00F62A1B"/>
    <w:rsid w:val="00F738D3"/>
    <w:rsid w:val="00F841EA"/>
    <w:rsid w:val="00F96574"/>
    <w:rsid w:val="00FA76B2"/>
    <w:rsid w:val="00FF279A"/>
    <w:rsid w:val="02B47DEE"/>
    <w:rsid w:val="08804632"/>
    <w:rsid w:val="0A6C03ED"/>
    <w:rsid w:val="133C6CB8"/>
    <w:rsid w:val="15EF61D7"/>
    <w:rsid w:val="19140CA5"/>
    <w:rsid w:val="24F35309"/>
    <w:rsid w:val="26E837E0"/>
    <w:rsid w:val="28905623"/>
    <w:rsid w:val="2FAB01E6"/>
    <w:rsid w:val="30BD4823"/>
    <w:rsid w:val="345B563C"/>
    <w:rsid w:val="385646B1"/>
    <w:rsid w:val="457932DB"/>
    <w:rsid w:val="51844B0C"/>
    <w:rsid w:val="51CA6B1D"/>
    <w:rsid w:val="522F35AE"/>
    <w:rsid w:val="5FE4319D"/>
    <w:rsid w:val="6C293EA4"/>
    <w:rsid w:val="75903CA4"/>
    <w:rsid w:val="76217A0F"/>
    <w:rsid w:val="786B040F"/>
    <w:rsid w:val="7BE21F89"/>
    <w:rsid w:val="7EAE2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325</Words>
  <Characters>1853</Characters>
  <Lines>15</Lines>
  <Paragraphs>4</Paragraphs>
  <TotalTime>2</TotalTime>
  <ScaleCrop>false</ScaleCrop>
  <LinksUpToDate>false</LinksUpToDate>
  <CharactersWithSpaces>2174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2019-09-17T02:47:00Z</cp:lastPrinted>
  <dcterms:modified xsi:type="dcterms:W3CDTF">2021-01-13T03:22:27Z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