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beforeLines="50" w:line="360" w:lineRule="auto"/>
        <w:jc w:val="center"/>
        <w:textAlignment w:val="auto"/>
        <w:rPr>
          <w:rStyle w:val="9"/>
          <w:rFonts w:hint="eastAsia" w:ascii="黑体" w:hAnsi="黑体" w:eastAsia="黑体" w:cs="宋体"/>
          <w:b/>
          <w:bCs w:val="0"/>
          <w:kern w:val="0"/>
          <w:sz w:val="28"/>
          <w:szCs w:val="28"/>
        </w:rPr>
      </w:pPr>
      <w:r>
        <w:rPr>
          <w:rStyle w:val="9"/>
          <w:rFonts w:hint="eastAsia" w:ascii="黑体" w:hAnsi="黑体" w:eastAsia="黑体" w:cs="宋体"/>
          <w:b/>
          <w:bCs w:val="0"/>
          <w:kern w:val="0"/>
          <w:sz w:val="28"/>
          <w:szCs w:val="28"/>
        </w:rPr>
        <w:t>新疆银行“金胡杨·</w:t>
      </w:r>
      <w:r>
        <w:rPr>
          <w:rStyle w:val="9"/>
          <w:rFonts w:hint="eastAsia" w:ascii="黑体" w:hAnsi="黑体" w:eastAsia="黑体" w:cs="宋体"/>
          <w:b/>
          <w:bCs w:val="0"/>
          <w:kern w:val="0"/>
          <w:sz w:val="28"/>
          <w:szCs w:val="28"/>
          <w:lang w:eastAsia="zh-CN"/>
        </w:rPr>
        <w:t>定开新</w:t>
      </w:r>
      <w:r>
        <w:rPr>
          <w:rStyle w:val="9"/>
          <w:rFonts w:hint="eastAsia" w:ascii="黑体" w:hAnsi="黑体" w:eastAsia="黑体" w:cs="宋体"/>
          <w:b/>
          <w:bCs w:val="0"/>
          <w:kern w:val="0"/>
          <w:sz w:val="28"/>
          <w:szCs w:val="28"/>
        </w:rPr>
        <w:t>”</w:t>
      </w:r>
      <w:r>
        <w:rPr>
          <w:rStyle w:val="9"/>
          <w:rFonts w:hint="eastAsia" w:ascii="黑体" w:hAnsi="黑体" w:eastAsia="黑体" w:cs="宋体"/>
          <w:b/>
          <w:bCs w:val="0"/>
          <w:kern w:val="0"/>
          <w:sz w:val="28"/>
          <w:szCs w:val="28"/>
          <w:lang w:val="en-US" w:eastAsia="zh-CN"/>
        </w:rPr>
        <w:t>(35天)周期</w:t>
      </w:r>
      <w:r>
        <w:rPr>
          <w:rStyle w:val="9"/>
          <w:rFonts w:hint="eastAsia" w:ascii="黑体" w:hAnsi="黑体" w:eastAsia="黑体" w:cs="宋体"/>
          <w:b/>
          <w:bCs w:val="0"/>
          <w:kern w:val="0"/>
          <w:sz w:val="28"/>
          <w:szCs w:val="28"/>
        </w:rPr>
        <w:t>开放</w:t>
      </w:r>
      <w:r>
        <w:rPr>
          <w:rStyle w:val="9"/>
          <w:rFonts w:hint="eastAsia" w:ascii="黑体" w:hAnsi="黑体" w:eastAsia="黑体" w:cs="宋体"/>
          <w:b/>
          <w:bCs w:val="0"/>
          <w:kern w:val="0"/>
          <w:sz w:val="28"/>
          <w:szCs w:val="28"/>
          <w:lang w:eastAsia="zh-CN"/>
        </w:rPr>
        <w:t>式</w:t>
      </w:r>
      <w:r>
        <w:rPr>
          <w:rStyle w:val="9"/>
          <w:rFonts w:hint="eastAsia" w:ascii="黑体" w:hAnsi="黑体" w:eastAsia="黑体" w:cs="宋体"/>
          <w:b/>
          <w:bCs w:val="0"/>
          <w:kern w:val="0"/>
          <w:sz w:val="28"/>
          <w:szCs w:val="28"/>
        </w:rPr>
        <w:t>净值型人民币理财产品协议书</w:t>
      </w:r>
    </w:p>
    <w:p>
      <w:pPr>
        <w:keepNext w:val="0"/>
        <w:keepLines w:val="0"/>
        <w:pageBreakBefore w:val="0"/>
        <w:widowControl/>
        <w:kinsoku/>
        <w:wordWrap/>
        <w:overflowPunct/>
        <w:topLinePunct w:val="0"/>
        <w:autoSpaceDE/>
        <w:autoSpaceDN/>
        <w:bidi w:val="0"/>
        <w:adjustRightInd w:val="0"/>
        <w:snapToGrid w:val="0"/>
        <w:spacing w:beforeLines="50" w:line="360" w:lineRule="auto"/>
        <w:jc w:val="center"/>
        <w:textAlignment w:val="auto"/>
        <w:rPr>
          <w:rStyle w:val="9"/>
          <w:rFonts w:hint="eastAsia" w:ascii="黑体" w:hAnsi="黑体" w:eastAsia="黑体" w:cs="黑体"/>
          <w:b/>
          <w:bCs w:val="0"/>
          <w:kern w:val="0"/>
          <w:sz w:val="24"/>
          <w:szCs w:val="24"/>
        </w:rPr>
      </w:pPr>
      <w:r>
        <w:rPr>
          <w:rStyle w:val="9"/>
          <w:rFonts w:hint="eastAsia" w:ascii="黑体" w:hAnsi="黑体" w:eastAsia="黑体" w:cs="黑体"/>
          <w:b/>
          <w:bCs w:val="0"/>
          <w:kern w:val="0"/>
          <w:sz w:val="24"/>
          <w:szCs w:val="24"/>
        </w:rPr>
        <w:t>理财产品过往业绩不代表其未来表现，不等于理财产品实际收益</w:t>
      </w:r>
    </w:p>
    <w:p>
      <w:pPr>
        <w:keepNext w:val="0"/>
        <w:keepLines w:val="0"/>
        <w:pageBreakBefore w:val="0"/>
        <w:widowControl/>
        <w:kinsoku/>
        <w:wordWrap/>
        <w:overflowPunct/>
        <w:topLinePunct w:val="0"/>
        <w:autoSpaceDE/>
        <w:autoSpaceDN/>
        <w:bidi w:val="0"/>
        <w:snapToGrid w:val="0"/>
        <w:spacing w:line="360" w:lineRule="auto"/>
        <w:jc w:val="center"/>
        <w:textAlignment w:val="auto"/>
        <w:rPr>
          <w:rStyle w:val="9"/>
          <w:rFonts w:hint="eastAsia" w:ascii="黑体" w:hAnsi="黑体" w:eastAsia="黑体" w:cs="黑体"/>
          <w:b/>
          <w:bCs w:val="0"/>
          <w:kern w:val="0"/>
          <w:sz w:val="24"/>
          <w:szCs w:val="24"/>
        </w:rPr>
      </w:pPr>
      <w:r>
        <w:rPr>
          <w:rStyle w:val="9"/>
          <w:rFonts w:hint="eastAsia" w:ascii="黑体" w:hAnsi="黑体" w:eastAsia="黑体" w:cs="黑体"/>
          <w:b/>
          <w:bCs w:val="0"/>
          <w:kern w:val="0"/>
          <w:sz w:val="24"/>
          <w:szCs w:val="24"/>
        </w:rPr>
        <w:t>理财非存款、产品有风险、投资须谨慎</w:t>
      </w:r>
    </w:p>
    <w:p>
      <w:pPr>
        <w:widowControl/>
        <w:spacing w:line="400" w:lineRule="exact"/>
        <w:jc w:val="center"/>
        <w:rPr>
          <w:rStyle w:val="9"/>
          <w:rFonts w:hint="eastAsia" w:ascii="黑体" w:hAnsi="黑体" w:eastAsia="黑体" w:cs="黑体"/>
          <w:b/>
          <w:bCs w:val="0"/>
          <w:kern w:val="0"/>
          <w:sz w:val="24"/>
          <w:szCs w:val="24"/>
        </w:rPr>
      </w:pP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□认购      □申购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cs="宋体" w:asciiTheme="minorEastAsia" w:hAnsiTheme="minorEastAsia" w:eastAsiaTheme="minorEastAsia"/>
                <w:bCs/>
                <w:kern w:val="0"/>
                <w:szCs w:val="21"/>
                <w:lang w:eastAsia="zh-CN"/>
              </w:rPr>
              <w:t>行</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ascii="黑体" w:hAnsi="黑体" w:eastAsia="黑体" w:cs="黑体"/>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ascii="黑体" w:hAnsi="黑体" w:eastAsia="黑体" w:cs="黑体"/>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p>
            <w:pPr>
              <w:widowControl/>
              <w:tabs>
                <w:tab w:val="left" w:pos="8070"/>
                <w:tab w:val="right" w:pos="8306"/>
              </w:tabs>
              <w:adjustRightInd w:val="0"/>
              <w:snapToGrid w:val="0"/>
              <w:spacing w:line="360" w:lineRule="auto"/>
              <w:ind w:firstLine="405"/>
              <w:jc w:val="left"/>
              <w:rPr>
                <w:rFonts w:hint="eastAsia" w:cs="宋体" w:asciiTheme="minorEastAsia" w:hAnsiTheme="minorEastAsia" w:eastAsiaTheme="minorEastAsia"/>
                <w:kern w:val="0"/>
                <w:szCs w:val="21"/>
              </w:rPr>
            </w:pPr>
            <w:r>
              <w:rPr>
                <w:rFonts w:hint="eastAsia" w:ascii="黑体" w:hAnsi="黑体" w:eastAsia="黑体" w:cs="黑体"/>
                <w:b/>
                <w:bCs/>
                <w:kern w:val="0"/>
                <w:szCs w:val="21"/>
                <w:lang w:val="en-US" w:eastAsia="zh-CN"/>
              </w:rPr>
              <w:t>4.乙方及其工作人员向甲方介绍的产品投资建议、产品收益和业绩比较基准等信息仅供甲方参考，不构成乙方对甲方的收益承诺。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w:t>
            </w:r>
            <w:bookmarkStart w:id="0" w:name="_GoBack"/>
            <w:bookmarkEnd w:id="0"/>
            <w:r>
              <w:rPr>
                <w:rFonts w:hint="eastAsia" w:asciiTheme="minorEastAsia" w:hAnsiTheme="minorEastAsia" w:eastAsiaTheme="minorEastAsia"/>
                <w:szCs w:val="21"/>
              </w:rPr>
              <w:t>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tc>
      </w:tr>
    </w:tbl>
    <w:p>
      <w:pPr>
        <w:spacing w:line="360" w:lineRule="auto"/>
        <w:rPr>
          <w:rFonts w:cs="宋体" w:asciiTheme="minorEastAsia" w:hAnsiTheme="minorEastAsia" w:eastAsiaTheme="minorEastAsia"/>
          <w:bCs/>
          <w:kern w:val="0"/>
          <w:szCs w:val="21"/>
        </w:rPr>
      </w:pP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46986"/>
    </w:sdtPr>
    <w:sdtContent>
      <w:p>
        <w:pPr>
          <w:pStyle w:val="3"/>
          <w:jc w:val="right"/>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B57A4"/>
    <w:rsid w:val="002B78D0"/>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17CE1"/>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50E3B"/>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2F35"/>
    <w:rsid w:val="00BD6333"/>
    <w:rsid w:val="00BE621A"/>
    <w:rsid w:val="00BF1AB3"/>
    <w:rsid w:val="00C4477C"/>
    <w:rsid w:val="00C44CBB"/>
    <w:rsid w:val="00C53E91"/>
    <w:rsid w:val="00C76F9A"/>
    <w:rsid w:val="00C90ACB"/>
    <w:rsid w:val="00C91EFD"/>
    <w:rsid w:val="00CA70FD"/>
    <w:rsid w:val="00CB0920"/>
    <w:rsid w:val="00CB12E9"/>
    <w:rsid w:val="00CC5394"/>
    <w:rsid w:val="00CD427F"/>
    <w:rsid w:val="00CD52B9"/>
    <w:rsid w:val="00CE0C92"/>
    <w:rsid w:val="00CF5A43"/>
    <w:rsid w:val="00D04CAA"/>
    <w:rsid w:val="00D07E27"/>
    <w:rsid w:val="00D22461"/>
    <w:rsid w:val="00D32544"/>
    <w:rsid w:val="00D424E1"/>
    <w:rsid w:val="00D51B63"/>
    <w:rsid w:val="00D56772"/>
    <w:rsid w:val="00D62F65"/>
    <w:rsid w:val="00D647B6"/>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82528"/>
    <w:rsid w:val="00F96A97"/>
    <w:rsid w:val="00FA6167"/>
    <w:rsid w:val="00FB38CD"/>
    <w:rsid w:val="00FC7471"/>
    <w:rsid w:val="00FD18D6"/>
    <w:rsid w:val="00FE6804"/>
    <w:rsid w:val="00FE74FB"/>
    <w:rsid w:val="00FF7571"/>
    <w:rsid w:val="065760B4"/>
    <w:rsid w:val="06582C1B"/>
    <w:rsid w:val="075F3D3C"/>
    <w:rsid w:val="0F4D430D"/>
    <w:rsid w:val="1AE3659C"/>
    <w:rsid w:val="1B8B7E68"/>
    <w:rsid w:val="1D056FC8"/>
    <w:rsid w:val="207F7B06"/>
    <w:rsid w:val="24A776A1"/>
    <w:rsid w:val="275E03D4"/>
    <w:rsid w:val="294454D7"/>
    <w:rsid w:val="2C3060C0"/>
    <w:rsid w:val="2FFB3BAB"/>
    <w:rsid w:val="30A90FF0"/>
    <w:rsid w:val="3CDF2599"/>
    <w:rsid w:val="49166DE6"/>
    <w:rsid w:val="51894DEB"/>
    <w:rsid w:val="5231151F"/>
    <w:rsid w:val="57605062"/>
    <w:rsid w:val="5DA051FC"/>
    <w:rsid w:val="5F9A3EF3"/>
    <w:rsid w:val="638B23A0"/>
    <w:rsid w:val="6C494FFC"/>
    <w:rsid w:val="6FA678A5"/>
    <w:rsid w:val="71A40F16"/>
    <w:rsid w:val="77561C0D"/>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F0712E-786A-4A30-B808-BF335DC0C37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644</Words>
  <Characters>3675</Characters>
  <Lines>30</Lines>
  <Paragraphs>8</Paragraphs>
  <TotalTime>4</TotalTime>
  <ScaleCrop>false</ScaleCrop>
  <LinksUpToDate>false</LinksUpToDate>
  <CharactersWithSpaces>4311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zzsx</cp:lastModifiedBy>
  <cp:lastPrinted>2019-05-06T05:26:00Z</cp:lastPrinted>
  <dcterms:modified xsi:type="dcterms:W3CDTF">2021-01-13T03:24:07Z</dcterms:modified>
  <cp:revision>170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