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新疆银行</w:t>
      </w:r>
      <w:r>
        <w:rPr>
          <w:rStyle w:val="9"/>
          <w:rFonts w:hint="eastAsia" w:ascii="黑体" w:hAnsi="黑体" w:eastAsia="黑体" w:cs="黑体"/>
          <w:b/>
          <w:bCs w:val="0"/>
          <w:kern w:val="0"/>
          <w:sz w:val="28"/>
          <w:szCs w:val="28"/>
          <w:lang w:eastAsia="zh-CN"/>
        </w:rPr>
        <w:t>“金胡杨”尊享</w:t>
      </w:r>
      <w:r>
        <w:rPr>
          <w:rStyle w:val="9"/>
          <w:rFonts w:hint="eastAsia" w:ascii="黑体" w:hAnsi="黑体" w:eastAsia="黑体" w:cs="黑体"/>
          <w:b/>
          <w:bCs w:val="0"/>
          <w:kern w:val="0"/>
          <w:sz w:val="28"/>
          <w:szCs w:val="28"/>
        </w:rPr>
        <w:t>封闭净值型人民币理财产品说明书</w:t>
      </w:r>
    </w:p>
    <w:p>
      <w:pPr>
        <w:widowControl/>
        <w:spacing w:line="400" w:lineRule="exact"/>
        <w:jc w:val="center"/>
        <w:rPr>
          <w:rStyle w:val="9"/>
          <w:rFonts w:hint="eastAsia" w:ascii="黑体" w:hAnsi="黑体" w:eastAsia="黑体" w:cs="黑体"/>
          <w:b w:val="0"/>
          <w:kern w:val="0"/>
          <w:sz w:val="24"/>
          <w:szCs w:val="24"/>
        </w:rPr>
      </w:pPr>
      <w:r>
        <w:rPr>
          <w:rStyle w:val="9"/>
          <w:rFonts w:hint="eastAsia" w:ascii="黑体" w:hAnsi="黑体" w:eastAsia="黑体" w:cs="黑体"/>
          <w:kern w:val="0"/>
          <w:sz w:val="24"/>
          <w:szCs w:val="24"/>
        </w:rPr>
        <w:t>理财产品过往业绩不代表其未来表现，不等于理财产品实际收益</w:t>
      </w:r>
    </w:p>
    <w:p>
      <w:pPr>
        <w:spacing w:line="40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理财非存款、产品有风险、投资须谨慎</w:t>
      </w:r>
    </w:p>
    <w:p>
      <w:pPr>
        <w:spacing w:line="400" w:lineRule="exac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w:t>
      </w:r>
      <w:r>
        <w:rPr>
          <w:rFonts w:hint="eastAsia" w:ascii="黑体" w:hAnsi="黑体" w:eastAsia="黑体" w:cs="黑体"/>
          <w:b/>
          <w:bCs/>
          <w:color w:val="000000" w:themeColor="text1"/>
          <w:sz w:val="24"/>
          <w:szCs w:val="24"/>
          <w:lang w:eastAsia="zh-CN"/>
          <w14:textFill>
            <w14:solidFill>
              <w14:schemeClr w14:val="tx1"/>
            </w14:solidFill>
          </w14:textFill>
        </w:rPr>
        <w:t>私募</w:t>
      </w:r>
      <w:r>
        <w:rPr>
          <w:rFonts w:hint="eastAsia" w:ascii="黑体" w:hAnsi="黑体" w:eastAsia="黑体" w:cs="黑体"/>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产品名称</w:t>
            </w:r>
          </w:p>
        </w:tc>
        <w:tc>
          <w:tcPr>
            <w:tcW w:w="8048" w:type="dxa"/>
            <w:tcBorders>
              <w:top w:val="single" w:color="000000" w:sz="4" w:space="0"/>
            </w:tcBorders>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新疆银行金胡杨</w:t>
            </w:r>
            <w:r>
              <w:rPr>
                <w:rFonts w:hint="eastAsia" w:ascii="华文仿宋" w:hAnsi="华文仿宋" w:eastAsia="华文仿宋" w:cs="华文仿宋"/>
                <w:b/>
                <w:bCs w:val="0"/>
                <w:kern w:val="0"/>
                <w:sz w:val="24"/>
                <w:szCs w:val="24"/>
                <w:lang w:eastAsia="zh-CN"/>
              </w:rPr>
              <w:t>尊享</w:t>
            </w:r>
            <w:r>
              <w:rPr>
                <w:rFonts w:hint="eastAsia" w:ascii="华文仿宋" w:hAnsi="华文仿宋" w:eastAsia="华文仿宋" w:cs="华文仿宋"/>
                <w:b/>
                <w:bCs w:val="0"/>
                <w:kern w:val="0"/>
                <w:sz w:val="24"/>
                <w:szCs w:val="24"/>
              </w:rPr>
              <w:t>封闭净值型</w:t>
            </w:r>
            <w:r>
              <w:rPr>
                <w:rFonts w:hint="eastAsia" w:ascii="华文仿宋" w:hAnsi="华文仿宋" w:eastAsia="华文仿宋" w:cs="华文仿宋"/>
                <w:b/>
                <w:bCs w:val="0"/>
                <w:kern w:val="0"/>
                <w:sz w:val="24"/>
                <w:szCs w:val="24"/>
                <w:highlight w:val="none"/>
              </w:rPr>
              <w:t>理财</w:t>
            </w:r>
            <w:r>
              <w:rPr>
                <w:rFonts w:hint="eastAsia" w:ascii="华文仿宋" w:hAnsi="华文仿宋" w:eastAsia="华文仿宋" w:cs="华文仿宋"/>
                <w:b/>
                <w:bCs w:val="0"/>
                <w:kern w:val="0"/>
                <w:sz w:val="24"/>
                <w:szCs w:val="24"/>
                <w:highlight w:val="none"/>
                <w:lang w:eastAsia="zh-CN"/>
              </w:rPr>
              <w:t>第</w:t>
            </w:r>
            <w:r>
              <w:rPr>
                <w:rFonts w:hint="eastAsia" w:ascii="华文仿宋" w:hAnsi="华文仿宋" w:eastAsia="华文仿宋" w:cs="华文仿宋"/>
                <w:b/>
                <w:bCs w:val="0"/>
                <w:kern w:val="0"/>
                <w:sz w:val="24"/>
                <w:szCs w:val="24"/>
                <w:highlight w:val="none"/>
                <w:lang w:val="en-US" w:eastAsia="zh-CN"/>
              </w:rPr>
              <w:t>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pStyle w:val="19"/>
            </w:pPr>
            <w:r>
              <w:t>窗体顶端</w:t>
            </w:r>
          </w:p>
          <w:p>
            <w:pPr>
              <w:keepNext w:val="0"/>
              <w:keepLines w:val="0"/>
              <w:widowControl/>
              <w:suppressLineNumbers w:val="0"/>
              <w:pBdr>
                <w:top w:val="none" w:color="auto" w:sz="0" w:space="0"/>
                <w:left w:val="none" w:color="auto" w:sz="0" w:space="0"/>
                <w:bottom w:val="none" w:color="auto" w:sz="0" w:space="0"/>
                <w:right w:val="none" w:color="auto" w:sz="0" w:space="0"/>
              </w:pBdr>
              <w:jc w:val="left"/>
              <w:rPr>
                <w:rFonts w:ascii="华文仿宋" w:hAnsi="华文仿宋" w:eastAsia="华文仿宋" w:cs="华文仿宋"/>
                <w:b/>
                <w:bCs w:val="0"/>
                <w:kern w:val="0"/>
                <w:sz w:val="24"/>
                <w:szCs w:val="24"/>
              </w:rPr>
            </w:pPr>
            <w:r>
              <w:rPr>
                <w:rFonts w:ascii="宋体" w:hAnsi="宋体" w:eastAsia="宋体" w:cs="宋体"/>
                <w:b/>
                <w:bCs/>
                <w:kern w:val="0"/>
                <w:sz w:val="24"/>
                <w:szCs w:val="24"/>
                <w:lang w:val="en-US" w:eastAsia="zh-CN" w:bidi="ar"/>
              </w:rPr>
              <w:t>C1364321A000001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hint="eastAsia" w:ascii="华文仿宋" w:hAnsi="华文仿宋" w:eastAsia="华文仿宋" w:cs="华文仿宋"/>
                <w:b w:val="0"/>
                <w:bCs w:val="0"/>
                <w:kern w:val="0"/>
                <w:sz w:val="24"/>
                <w:szCs w:val="24"/>
                <w:lang w:eastAsia="zh-CN"/>
              </w:rPr>
            </w:pPr>
            <w:r>
              <w:rPr>
                <w:rStyle w:val="9"/>
                <w:rFonts w:hint="eastAsia" w:ascii="华文仿宋" w:hAnsi="华文仿宋" w:eastAsia="华文仿宋" w:cs="华文仿宋"/>
                <w:b w:val="0"/>
                <w:bCs w:val="0"/>
                <w:kern w:val="0"/>
                <w:sz w:val="24"/>
                <w:szCs w:val="24"/>
                <w:lang w:eastAsia="zh-CN"/>
              </w:rPr>
              <w:t>私募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val="0"/>
                <w:sz w:val="24"/>
                <w:szCs w:val="24"/>
              </w:rPr>
            </w:pPr>
            <w:r>
              <w:rPr>
                <w:rStyle w:val="9"/>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highlight w:val="none"/>
                <w:lang w:val="en-US" w:eastAsia="zh-CN"/>
              </w:rPr>
              <w:t>183</w:t>
            </w:r>
            <w:r>
              <w:rPr>
                <w:rFonts w:hint="eastAsia" w:ascii="华文仿宋" w:hAnsi="华文仿宋" w:eastAsia="华文仿宋" w:cs="华文仿宋"/>
                <w:b/>
                <w:bCs w:val="0"/>
                <w:kern w:val="0"/>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highlight w:val="none"/>
              </w:rPr>
              <w:t>R2</w:t>
            </w:r>
            <w:r>
              <w:rPr>
                <w:rFonts w:hint="eastAsia" w:ascii="华文仿宋" w:hAnsi="华文仿宋" w:eastAsia="华文仿宋" w:cs="华文仿宋"/>
                <w:b/>
                <w:kern w:val="0"/>
                <w:sz w:val="24"/>
                <w:szCs w:val="24"/>
                <w:highlight w:val="none"/>
                <w:lang w:eastAsia="zh-CN"/>
              </w:rPr>
              <w:t>中低风险</w:t>
            </w:r>
            <w:r>
              <w:rPr>
                <w:rFonts w:hint="eastAsia" w:ascii="华文仿宋" w:hAnsi="华文仿宋" w:eastAsia="华文仿宋" w:cs="华文仿宋"/>
                <w:bCs/>
                <w:kern w:val="0"/>
                <w:sz w:val="24"/>
                <w:szCs w:val="24"/>
                <w:highlight w:val="none"/>
              </w:rPr>
              <w:t>理</w:t>
            </w:r>
            <w:r>
              <w:rPr>
                <w:rFonts w:hint="eastAsia" w:ascii="华文仿宋" w:hAnsi="华文仿宋" w:eastAsia="华文仿宋" w:cs="华文仿宋"/>
                <w:bCs/>
                <w:kern w:val="0"/>
                <w:sz w:val="24"/>
                <w:szCs w:val="24"/>
              </w:rPr>
              <w:t>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r>
              <w:rPr>
                <w:rFonts w:hint="eastAsia" w:ascii="华文仿宋" w:hAnsi="华文仿宋" w:eastAsia="华文仿宋" w:cs="华文仿宋"/>
                <w:bCs/>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highlight w:val="none"/>
              </w:rPr>
            </w:pPr>
            <w:r>
              <w:rPr>
                <w:rFonts w:hint="eastAsia" w:ascii="华文仿宋" w:hAnsi="华文仿宋" w:eastAsia="华文仿宋" w:cs="华文仿宋"/>
                <w:b/>
                <w:bCs w:val="0"/>
                <w:kern w:val="0"/>
                <w:sz w:val="24"/>
                <w:szCs w:val="24"/>
              </w:rPr>
              <w:t>本理财产品认购起点为人民</w:t>
            </w:r>
            <w:r>
              <w:rPr>
                <w:rFonts w:hint="eastAsia" w:ascii="华文仿宋" w:hAnsi="华文仿宋" w:eastAsia="华文仿宋" w:cs="华文仿宋"/>
                <w:b/>
                <w:bCs w:val="0"/>
                <w:kern w:val="0"/>
                <w:sz w:val="24"/>
                <w:szCs w:val="24"/>
                <w:highlight w:val="none"/>
              </w:rPr>
              <w:t>币</w:t>
            </w:r>
            <w:r>
              <w:rPr>
                <w:rFonts w:hint="eastAsia" w:ascii="华文仿宋" w:hAnsi="华文仿宋" w:eastAsia="华文仿宋" w:cs="华文仿宋"/>
                <w:b/>
                <w:bCs w:val="0"/>
                <w:kern w:val="0"/>
                <w:sz w:val="24"/>
                <w:szCs w:val="24"/>
                <w:highlight w:val="none"/>
                <w:lang w:val="en-US" w:eastAsia="zh-CN"/>
              </w:rPr>
              <w:t>300</w:t>
            </w:r>
            <w:r>
              <w:rPr>
                <w:rFonts w:hint="eastAsia" w:ascii="华文仿宋" w:hAnsi="华文仿宋" w:eastAsia="华文仿宋" w:cs="华文仿宋"/>
                <w:b/>
                <w:bCs w:val="0"/>
                <w:kern w:val="0"/>
                <w:sz w:val="24"/>
                <w:szCs w:val="24"/>
                <w:highlight w:val="none"/>
              </w:rPr>
              <w:t>万元，以</w:t>
            </w:r>
            <w:r>
              <w:rPr>
                <w:rFonts w:hint="eastAsia" w:ascii="华文仿宋" w:hAnsi="华文仿宋" w:eastAsia="华文仿宋" w:cs="华文仿宋"/>
                <w:b/>
                <w:bCs w:val="0"/>
                <w:kern w:val="0"/>
                <w:sz w:val="24"/>
                <w:szCs w:val="24"/>
                <w:highlight w:val="none"/>
                <w:lang w:val="en-US" w:eastAsia="zh-CN"/>
              </w:rPr>
              <w:t>1万元</w:t>
            </w:r>
            <w:r>
              <w:rPr>
                <w:rFonts w:hint="eastAsia" w:ascii="华文仿宋" w:hAnsi="华文仿宋" w:eastAsia="华文仿宋" w:cs="华文仿宋"/>
                <w:b/>
                <w:bCs w:val="0"/>
                <w:kern w:val="0"/>
                <w:sz w:val="24"/>
                <w:szCs w:val="24"/>
                <w:highlight w:val="none"/>
              </w:rPr>
              <w:t>整数倍递增。</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highlight w:val="none"/>
              </w:rPr>
            </w:pPr>
            <w:r>
              <w:rPr>
                <w:rFonts w:hint="eastAsia" w:ascii="华文仿宋" w:hAnsi="华文仿宋" w:eastAsia="华文仿宋" w:cs="华文仿宋"/>
                <w:bCs/>
                <w:kern w:val="0"/>
                <w:sz w:val="24"/>
                <w:szCs w:val="24"/>
                <w:highlight w:val="none"/>
              </w:rPr>
              <w:t>募集规模</w:t>
            </w:r>
          </w:p>
        </w:tc>
        <w:tc>
          <w:tcPr>
            <w:tcW w:w="8048" w:type="dxa"/>
            <w:vAlign w:val="center"/>
          </w:tcPr>
          <w:p>
            <w:pPr>
              <w:spacing w:line="400" w:lineRule="exact"/>
              <w:jc w:val="left"/>
              <w:rPr>
                <w:rFonts w:ascii="华文仿宋" w:hAnsi="华文仿宋" w:eastAsia="华文仿宋" w:cs="华文仿宋"/>
                <w:kern w:val="0"/>
                <w:sz w:val="24"/>
                <w:szCs w:val="24"/>
                <w:highlight w:val="none"/>
              </w:rPr>
            </w:pPr>
            <w:r>
              <w:rPr>
                <w:rFonts w:hint="eastAsia" w:ascii="华文仿宋" w:hAnsi="华文仿宋" w:eastAsia="华文仿宋" w:cs="华文仿宋"/>
                <w:kern w:val="0"/>
                <w:sz w:val="24"/>
                <w:szCs w:val="24"/>
                <w:highlight w:val="none"/>
              </w:rPr>
              <w:t>产品</w:t>
            </w:r>
            <w:r>
              <w:rPr>
                <w:rFonts w:hint="eastAsia" w:ascii="华文仿宋" w:hAnsi="华文仿宋" w:eastAsia="华文仿宋" w:cs="华文仿宋"/>
                <w:kern w:val="0"/>
                <w:sz w:val="24"/>
                <w:szCs w:val="24"/>
                <w:highlight w:val="none"/>
                <w:lang w:eastAsia="zh-CN"/>
              </w:rPr>
              <w:t>发行</w:t>
            </w:r>
            <w:r>
              <w:rPr>
                <w:rFonts w:hint="eastAsia" w:ascii="华文仿宋" w:hAnsi="华文仿宋" w:eastAsia="华文仿宋" w:cs="华文仿宋"/>
                <w:kern w:val="0"/>
                <w:sz w:val="24"/>
                <w:szCs w:val="24"/>
                <w:highlight w:val="none"/>
              </w:rPr>
              <w:t>规模</w:t>
            </w:r>
            <w:r>
              <w:rPr>
                <w:rFonts w:hint="eastAsia" w:ascii="华文仿宋" w:hAnsi="华文仿宋" w:eastAsia="华文仿宋" w:cs="华文仿宋"/>
                <w:kern w:val="0"/>
                <w:sz w:val="24"/>
                <w:szCs w:val="24"/>
                <w:highlight w:val="none"/>
                <w:lang w:val="en-US" w:eastAsia="zh-CN"/>
              </w:rPr>
              <w:t>3000-10000</w:t>
            </w:r>
            <w:r>
              <w:rPr>
                <w:rFonts w:hint="eastAsia" w:ascii="华文仿宋" w:hAnsi="华文仿宋" w:eastAsia="华文仿宋" w:cs="华文仿宋"/>
                <w:kern w:val="0"/>
                <w:sz w:val="24"/>
                <w:szCs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highlight w:val="none"/>
                <w:lang w:val="en-US" w:eastAsia="zh-CN"/>
              </w:rPr>
              <w:t>2021</w:t>
            </w:r>
            <w:r>
              <w:rPr>
                <w:rFonts w:hint="eastAsia" w:ascii="华文仿宋" w:hAnsi="华文仿宋" w:eastAsia="华文仿宋" w:cs="华文仿宋"/>
                <w:b/>
                <w:bCs w:val="0"/>
                <w:kern w:val="0"/>
                <w:sz w:val="24"/>
                <w:szCs w:val="24"/>
                <w:highlight w:val="none"/>
              </w:rPr>
              <w:t xml:space="preserve">年 </w:t>
            </w:r>
            <w:r>
              <w:rPr>
                <w:rFonts w:hint="eastAsia" w:ascii="华文仿宋" w:hAnsi="华文仿宋" w:eastAsia="华文仿宋" w:cs="华文仿宋"/>
                <w:b/>
                <w:bCs w:val="0"/>
                <w:kern w:val="0"/>
                <w:sz w:val="24"/>
                <w:szCs w:val="24"/>
                <w:highlight w:val="none"/>
                <w:lang w:val="en-US" w:eastAsia="zh-CN"/>
              </w:rPr>
              <w:t>01</w:t>
            </w:r>
            <w:r>
              <w:rPr>
                <w:rFonts w:hint="eastAsia" w:ascii="华文仿宋" w:hAnsi="华文仿宋" w:eastAsia="华文仿宋" w:cs="华文仿宋"/>
                <w:b/>
                <w:bCs w:val="0"/>
                <w:kern w:val="0"/>
                <w:sz w:val="24"/>
                <w:szCs w:val="24"/>
                <w:highlight w:val="none"/>
              </w:rPr>
              <w:t>月</w:t>
            </w:r>
            <w:r>
              <w:rPr>
                <w:rFonts w:hint="eastAsia" w:ascii="华文仿宋" w:hAnsi="华文仿宋" w:eastAsia="华文仿宋" w:cs="华文仿宋"/>
                <w:b/>
                <w:bCs w:val="0"/>
                <w:kern w:val="0"/>
                <w:sz w:val="24"/>
                <w:szCs w:val="24"/>
                <w:highlight w:val="none"/>
                <w:lang w:val="en-US" w:eastAsia="zh-CN"/>
              </w:rPr>
              <w:t>09</w:t>
            </w:r>
            <w:r>
              <w:rPr>
                <w:rFonts w:hint="eastAsia" w:ascii="华文仿宋" w:hAnsi="华文仿宋" w:eastAsia="华文仿宋" w:cs="华文仿宋"/>
                <w:b/>
                <w:bCs w:val="0"/>
                <w:kern w:val="0"/>
                <w:sz w:val="24"/>
                <w:szCs w:val="24"/>
                <w:highlight w:val="none"/>
              </w:rPr>
              <w:t>日至</w:t>
            </w:r>
            <w:r>
              <w:rPr>
                <w:rFonts w:hint="eastAsia" w:ascii="华文仿宋" w:hAnsi="华文仿宋" w:eastAsia="华文仿宋" w:cs="华文仿宋"/>
                <w:b/>
                <w:bCs w:val="0"/>
                <w:kern w:val="0"/>
                <w:sz w:val="24"/>
                <w:szCs w:val="24"/>
                <w:highlight w:val="none"/>
                <w:lang w:val="en-US" w:eastAsia="zh-CN"/>
              </w:rPr>
              <w:t>2021</w:t>
            </w:r>
            <w:r>
              <w:rPr>
                <w:rFonts w:hint="eastAsia" w:ascii="华文仿宋" w:hAnsi="华文仿宋" w:eastAsia="华文仿宋" w:cs="华文仿宋"/>
                <w:b/>
                <w:bCs w:val="0"/>
                <w:kern w:val="0"/>
                <w:sz w:val="24"/>
                <w:szCs w:val="24"/>
                <w:highlight w:val="none"/>
              </w:rPr>
              <w:t xml:space="preserve">年 </w:t>
            </w:r>
            <w:r>
              <w:rPr>
                <w:rFonts w:hint="eastAsia" w:ascii="华文仿宋" w:hAnsi="华文仿宋" w:eastAsia="华文仿宋" w:cs="华文仿宋"/>
                <w:b/>
                <w:bCs w:val="0"/>
                <w:kern w:val="0"/>
                <w:sz w:val="24"/>
                <w:szCs w:val="24"/>
                <w:highlight w:val="none"/>
                <w:lang w:val="en-US" w:eastAsia="zh-CN"/>
              </w:rPr>
              <w:t>01</w:t>
            </w:r>
            <w:r>
              <w:rPr>
                <w:rFonts w:hint="eastAsia" w:ascii="华文仿宋" w:hAnsi="华文仿宋" w:eastAsia="华文仿宋" w:cs="华文仿宋"/>
                <w:b/>
                <w:bCs w:val="0"/>
                <w:kern w:val="0"/>
                <w:sz w:val="24"/>
                <w:szCs w:val="24"/>
                <w:highlight w:val="none"/>
              </w:rPr>
              <w:t>月</w:t>
            </w:r>
            <w:r>
              <w:rPr>
                <w:rFonts w:hint="eastAsia" w:ascii="华文仿宋" w:hAnsi="华文仿宋" w:eastAsia="华文仿宋" w:cs="华文仿宋"/>
                <w:b/>
                <w:bCs w:val="0"/>
                <w:kern w:val="0"/>
                <w:sz w:val="24"/>
                <w:szCs w:val="24"/>
                <w:highlight w:val="none"/>
                <w:lang w:val="en-US" w:eastAsia="zh-CN"/>
              </w:rPr>
              <w:t>09</w:t>
            </w:r>
            <w:r>
              <w:rPr>
                <w:rFonts w:hint="eastAsia" w:ascii="华文仿宋" w:hAnsi="华文仿宋" w:eastAsia="华文仿宋" w:cs="华文仿宋"/>
                <w:b/>
                <w:bCs w:val="0"/>
                <w:kern w:val="0"/>
                <w:sz w:val="24"/>
                <w:szCs w:val="24"/>
                <w:highlight w:val="none"/>
              </w:rPr>
              <w:t>日。即客</w:t>
            </w:r>
            <w:r>
              <w:rPr>
                <w:rFonts w:hint="eastAsia" w:ascii="华文仿宋" w:hAnsi="华文仿宋" w:eastAsia="华文仿宋" w:cs="华文仿宋"/>
                <w:b/>
                <w:bCs w:val="0"/>
                <w:kern w:val="0"/>
                <w:sz w:val="24"/>
                <w:szCs w:val="24"/>
              </w:rPr>
              <w:t>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hint="eastAsia"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lang w:eastAsia="zh-CN"/>
              </w:rPr>
              <w:t>产品冷静期</w:t>
            </w:r>
          </w:p>
        </w:tc>
        <w:tc>
          <w:tcPr>
            <w:tcW w:w="8048" w:type="dxa"/>
            <w:vAlign w:val="center"/>
          </w:tcPr>
          <w:p>
            <w:pPr>
              <w:numPr>
                <w:ilvl w:val="0"/>
                <w:numId w:val="0"/>
              </w:numPr>
              <w:spacing w:line="360" w:lineRule="exact"/>
              <w:rPr>
                <w:rFonts w:hint="eastAsia" w:ascii="华文仿宋" w:hAnsi="华文仿宋" w:eastAsia="华文仿宋" w:cs="华文仿宋"/>
                <w:b/>
                <w:bCs w:val="0"/>
                <w:kern w:val="0"/>
                <w:sz w:val="24"/>
                <w:szCs w:val="24"/>
                <w:highlight w:val="yellow"/>
                <w:lang w:val="en-US" w:eastAsia="zh-CN" w:bidi="ar-SA"/>
              </w:rPr>
            </w:pPr>
            <w:r>
              <w:rPr>
                <w:rFonts w:hint="eastAsia" w:ascii="华文仿宋" w:hAnsi="华文仿宋" w:eastAsia="华文仿宋"/>
                <w:b/>
                <w:bCs w:val="0"/>
                <w:sz w:val="24"/>
                <w:szCs w:val="24"/>
                <w:lang w:val="en-US" w:eastAsia="zh-CN"/>
              </w:rPr>
              <w:t>双方签订协议起二十五小时内，如您改变决定，需解除签订的销售协议，我行将及时退还您的全部投资款项，在此二十五小时之内即为投资冷静期</w:t>
            </w:r>
            <w:r>
              <w:rPr>
                <w:rFonts w:hint="eastAsia" w:ascii="华文仿宋" w:hAnsi="华文仿宋" w:eastAsia="华文仿宋"/>
                <w:b/>
                <w:bCs w:val="0"/>
                <w:sz w:val="24"/>
                <w:szCs w:val="24"/>
                <w:highlight w:val="none"/>
                <w:lang w:val="en-US" w:eastAsia="zh-CN"/>
              </w:rPr>
              <w:t>，投资冷静期截止时间为产品起息日前一日的19:00整。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highlight w:val="none"/>
                <w:lang w:val="en-US" w:eastAsia="zh-CN"/>
              </w:rPr>
              <w:t>2021</w:t>
            </w:r>
            <w:r>
              <w:rPr>
                <w:rFonts w:hint="eastAsia" w:ascii="华文仿宋" w:hAnsi="华文仿宋" w:eastAsia="华文仿宋" w:cs="华文仿宋"/>
                <w:b/>
                <w:bCs w:val="0"/>
                <w:kern w:val="0"/>
                <w:sz w:val="24"/>
                <w:szCs w:val="24"/>
                <w:highlight w:val="none"/>
              </w:rPr>
              <w:t xml:space="preserve">年 </w:t>
            </w:r>
            <w:r>
              <w:rPr>
                <w:rFonts w:hint="eastAsia" w:ascii="华文仿宋" w:hAnsi="华文仿宋" w:eastAsia="华文仿宋" w:cs="华文仿宋"/>
                <w:b/>
                <w:bCs w:val="0"/>
                <w:kern w:val="0"/>
                <w:sz w:val="24"/>
                <w:szCs w:val="24"/>
                <w:highlight w:val="none"/>
                <w:lang w:val="en-US" w:eastAsia="zh-CN"/>
              </w:rPr>
              <w:t>01</w:t>
            </w:r>
            <w:r>
              <w:rPr>
                <w:rFonts w:hint="eastAsia" w:ascii="华文仿宋" w:hAnsi="华文仿宋" w:eastAsia="华文仿宋" w:cs="华文仿宋"/>
                <w:b/>
                <w:bCs w:val="0"/>
                <w:kern w:val="0"/>
                <w:sz w:val="24"/>
                <w:szCs w:val="24"/>
                <w:highlight w:val="none"/>
              </w:rPr>
              <w:t>月</w:t>
            </w:r>
            <w:r>
              <w:rPr>
                <w:rFonts w:hint="eastAsia" w:ascii="华文仿宋" w:hAnsi="华文仿宋" w:eastAsia="华文仿宋" w:cs="华文仿宋"/>
                <w:b/>
                <w:bCs w:val="0"/>
                <w:kern w:val="0"/>
                <w:sz w:val="24"/>
                <w:szCs w:val="24"/>
                <w:highlight w:val="none"/>
                <w:lang w:val="en-US" w:eastAsia="zh-CN"/>
              </w:rPr>
              <w:t>11</w:t>
            </w:r>
            <w:r>
              <w:rPr>
                <w:rFonts w:hint="eastAsia" w:ascii="华文仿宋" w:hAnsi="华文仿宋" w:eastAsia="华文仿宋" w:cs="华文仿宋"/>
                <w:b/>
                <w:bCs w:val="0"/>
                <w:kern w:val="0"/>
                <w:sz w:val="24"/>
                <w:szCs w:val="24"/>
                <w:highlight w:val="none"/>
              </w:rPr>
              <w:t>日，理</w:t>
            </w:r>
            <w:r>
              <w:rPr>
                <w:rFonts w:hint="eastAsia" w:ascii="华文仿宋" w:hAnsi="华文仿宋" w:eastAsia="华文仿宋" w:cs="华文仿宋"/>
                <w:b/>
                <w:bCs w:val="0"/>
                <w:kern w:val="0"/>
                <w:sz w:val="24"/>
                <w:szCs w:val="24"/>
              </w:rPr>
              <w:t>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hint="eastAsia" w:ascii="华文仿宋" w:hAnsi="华文仿宋" w:eastAsia="华文仿宋" w:cs="华文仿宋"/>
                <w:b/>
                <w:bCs w:val="0"/>
                <w:sz w:val="24"/>
                <w:szCs w:val="24"/>
              </w:rPr>
            </w:pPr>
            <w:r>
              <w:rPr>
                <w:rFonts w:hint="eastAsia" w:ascii="华文仿宋" w:hAnsi="华文仿宋" w:eastAsia="华文仿宋" w:cs="华文仿宋"/>
                <w:b/>
                <w:bCs w:val="0"/>
                <w:sz w:val="24"/>
                <w:szCs w:val="24"/>
                <w:highlight w:val="none"/>
                <w:lang w:val="en-US" w:eastAsia="zh-CN"/>
              </w:rPr>
              <w:t>2021</w:t>
            </w:r>
            <w:r>
              <w:rPr>
                <w:rFonts w:hint="eastAsia" w:ascii="华文仿宋" w:hAnsi="华文仿宋" w:eastAsia="华文仿宋" w:cs="华文仿宋"/>
                <w:b/>
                <w:bCs w:val="0"/>
                <w:sz w:val="24"/>
                <w:szCs w:val="24"/>
                <w:highlight w:val="none"/>
              </w:rPr>
              <w:t xml:space="preserve">年 </w:t>
            </w:r>
            <w:r>
              <w:rPr>
                <w:rFonts w:hint="eastAsia" w:ascii="华文仿宋" w:hAnsi="华文仿宋" w:eastAsia="华文仿宋" w:cs="华文仿宋"/>
                <w:b/>
                <w:bCs w:val="0"/>
                <w:sz w:val="24"/>
                <w:szCs w:val="24"/>
                <w:highlight w:val="none"/>
                <w:lang w:val="en-US" w:eastAsia="zh-CN"/>
              </w:rPr>
              <w:t>07</w:t>
            </w:r>
            <w:r>
              <w:rPr>
                <w:rFonts w:hint="eastAsia" w:ascii="华文仿宋" w:hAnsi="华文仿宋" w:eastAsia="华文仿宋" w:cs="华文仿宋"/>
                <w:b/>
                <w:bCs w:val="0"/>
                <w:sz w:val="24"/>
                <w:szCs w:val="24"/>
                <w:highlight w:val="none"/>
              </w:rPr>
              <w:t>月</w:t>
            </w:r>
            <w:r>
              <w:rPr>
                <w:rFonts w:hint="eastAsia" w:ascii="华文仿宋" w:hAnsi="华文仿宋" w:eastAsia="华文仿宋" w:cs="华文仿宋"/>
                <w:b/>
                <w:bCs w:val="0"/>
                <w:sz w:val="24"/>
                <w:szCs w:val="24"/>
                <w:highlight w:val="none"/>
                <w:lang w:val="en-US" w:eastAsia="zh-CN"/>
              </w:rPr>
              <w:t>13日</w:t>
            </w:r>
            <w:r>
              <w:rPr>
                <w:rFonts w:hint="eastAsia" w:ascii="华文仿宋" w:hAnsi="华文仿宋" w:eastAsia="华文仿宋" w:cs="华文仿宋"/>
                <w:b/>
                <w:bCs w:val="0"/>
                <w:sz w:val="24"/>
                <w:szCs w:val="24"/>
                <w:highlight w:val="none"/>
              </w:rPr>
              <w:t>，</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sz w:val="24"/>
                <w:szCs w:val="24"/>
                <w:highlight w:val="none"/>
                <w:lang w:val="en-US" w:eastAsia="zh-CN"/>
              </w:rPr>
              <w:t>2021</w:t>
            </w:r>
            <w:r>
              <w:rPr>
                <w:rFonts w:hint="eastAsia" w:ascii="华文仿宋" w:hAnsi="华文仿宋" w:eastAsia="华文仿宋" w:cs="华文仿宋"/>
                <w:b/>
                <w:bCs w:val="0"/>
                <w:sz w:val="24"/>
                <w:szCs w:val="24"/>
                <w:highlight w:val="none"/>
              </w:rPr>
              <w:t xml:space="preserve">年 </w:t>
            </w:r>
            <w:r>
              <w:rPr>
                <w:rFonts w:hint="eastAsia" w:ascii="华文仿宋" w:hAnsi="华文仿宋" w:eastAsia="华文仿宋" w:cs="华文仿宋"/>
                <w:b/>
                <w:bCs w:val="0"/>
                <w:sz w:val="24"/>
                <w:szCs w:val="24"/>
                <w:highlight w:val="none"/>
                <w:lang w:val="en-US" w:eastAsia="zh-CN"/>
              </w:rPr>
              <w:t>07</w:t>
            </w:r>
            <w:r>
              <w:rPr>
                <w:rFonts w:hint="eastAsia" w:ascii="华文仿宋" w:hAnsi="华文仿宋" w:eastAsia="华文仿宋" w:cs="华文仿宋"/>
                <w:b/>
                <w:bCs w:val="0"/>
                <w:sz w:val="24"/>
                <w:szCs w:val="24"/>
                <w:highlight w:val="none"/>
              </w:rPr>
              <w:t>月</w:t>
            </w:r>
            <w:r>
              <w:rPr>
                <w:rFonts w:hint="eastAsia" w:ascii="华文仿宋" w:hAnsi="华文仿宋" w:eastAsia="华文仿宋" w:cs="华文仿宋"/>
                <w:b/>
                <w:bCs w:val="0"/>
                <w:sz w:val="24"/>
                <w:szCs w:val="24"/>
                <w:highlight w:val="none"/>
                <w:lang w:val="en-US" w:eastAsia="zh-CN"/>
              </w:rPr>
              <w:t>13日</w:t>
            </w:r>
            <w:r>
              <w:rPr>
                <w:rFonts w:hint="eastAsia" w:ascii="华文仿宋" w:hAnsi="华文仿宋" w:eastAsia="华文仿宋" w:cs="华文仿宋"/>
                <w:b/>
                <w:bCs w:val="0"/>
                <w:sz w:val="24"/>
                <w:szCs w:val="24"/>
                <w:highlight w:val="none"/>
              </w:rPr>
              <w:t>，兑付日是</w:t>
            </w:r>
            <w:r>
              <w:rPr>
                <w:rFonts w:hint="eastAsia" w:ascii="华文仿宋" w:hAnsi="华文仿宋" w:eastAsia="华文仿宋" w:cs="华文仿宋"/>
                <w:b/>
                <w:bCs w:val="0"/>
                <w:sz w:val="24"/>
                <w:szCs w:val="24"/>
              </w:rPr>
              <w:t>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highlight w:val="none"/>
                <w:lang w:val="en-US" w:eastAsia="zh-CN"/>
              </w:rPr>
              <w:t>4.30</w:t>
            </w:r>
            <w:r>
              <w:rPr>
                <w:rFonts w:hint="eastAsia" w:ascii="华文仿宋" w:hAnsi="华文仿宋" w:eastAsia="华文仿宋" w:cs="华文仿宋"/>
                <w:b/>
                <w:bCs w:val="0"/>
                <w:kern w:val="0"/>
                <w:sz w:val="24"/>
                <w:szCs w:val="24"/>
                <w:highlight w:val="none"/>
              </w:rPr>
              <w:t>%(</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浮动管理费</w:t>
            </w:r>
            <w:r>
              <w:rPr>
                <w:rFonts w:hint="eastAsia" w:ascii="华文仿宋" w:hAnsi="华文仿宋" w:eastAsia="华文仿宋" w:cs="华文仿宋"/>
                <w:b/>
                <w:bCs w:val="0"/>
                <w:color w:val="auto"/>
                <w:kern w:val="0"/>
                <w:sz w:val="24"/>
                <w:szCs w:val="24"/>
                <w:highlight w:val="none"/>
                <w:lang w:eastAsia="zh-CN"/>
              </w:rPr>
              <w:t>收取</w:t>
            </w:r>
            <w:r>
              <w:rPr>
                <w:rFonts w:hint="eastAsia" w:ascii="华文仿宋" w:hAnsi="华文仿宋" w:eastAsia="华文仿宋" w:cs="华文仿宋"/>
                <w:b/>
                <w:bCs w:val="0"/>
                <w:color w:val="auto"/>
                <w:kern w:val="0"/>
                <w:sz w:val="24"/>
                <w:szCs w:val="24"/>
                <w:highlight w:val="none"/>
              </w:rPr>
              <w:t>，</w:t>
            </w:r>
            <w:r>
              <w:rPr>
                <w:rFonts w:hint="eastAsia" w:ascii="华文仿宋" w:hAnsi="华文仿宋" w:eastAsia="华文仿宋" w:cs="华文仿宋"/>
                <w:b/>
                <w:bCs w:val="0"/>
                <w:color w:val="auto"/>
                <w:kern w:val="0"/>
                <w:sz w:val="24"/>
                <w:szCs w:val="24"/>
                <w:highlight w:val="none"/>
                <w:lang w:eastAsia="zh-CN"/>
              </w:rPr>
              <w:t>在本</w:t>
            </w:r>
            <w:r>
              <w:rPr>
                <w:rFonts w:hint="eastAsia" w:ascii="华文仿宋" w:hAnsi="华文仿宋" w:eastAsia="华文仿宋" w:cs="华文仿宋"/>
                <w:b/>
                <w:bCs w:val="0"/>
                <w:color w:val="auto"/>
                <w:kern w:val="0"/>
                <w:sz w:val="24"/>
                <w:szCs w:val="24"/>
                <w:highlight w:val="none"/>
              </w:rPr>
              <w:t>产品到期日或提前终止日，剔除销售管理费、托管费、固定管理费以及产品</w:t>
            </w:r>
            <w:r>
              <w:rPr>
                <w:rFonts w:hint="eastAsia" w:ascii="华文仿宋" w:hAnsi="华文仿宋" w:eastAsia="华文仿宋" w:cs="华文仿宋"/>
                <w:b/>
                <w:bCs w:val="0"/>
                <w:color w:val="auto"/>
                <w:kern w:val="0"/>
                <w:sz w:val="24"/>
                <w:szCs w:val="24"/>
                <w:highlight w:val="none"/>
                <w:lang w:eastAsia="zh-CN"/>
              </w:rPr>
              <w:t>应承担</w:t>
            </w:r>
            <w:r>
              <w:rPr>
                <w:rFonts w:hint="eastAsia" w:ascii="华文仿宋" w:hAnsi="华文仿宋" w:eastAsia="华文仿宋" w:cs="华文仿宋"/>
                <w:b/>
                <w:bCs w:val="0"/>
                <w:color w:val="auto"/>
                <w:kern w:val="0"/>
                <w:sz w:val="24"/>
                <w:szCs w:val="24"/>
                <w:highlight w:val="none"/>
              </w:rPr>
              <w:t>的增值税</w:t>
            </w:r>
            <w:r>
              <w:rPr>
                <w:rFonts w:hint="eastAsia" w:ascii="华文仿宋" w:hAnsi="华文仿宋" w:eastAsia="华文仿宋" w:cs="华文仿宋"/>
                <w:b/>
                <w:bCs w:val="0"/>
                <w:color w:val="auto"/>
                <w:kern w:val="0"/>
                <w:sz w:val="24"/>
                <w:szCs w:val="24"/>
                <w:highlight w:val="none"/>
                <w:lang w:eastAsia="zh-CN"/>
              </w:rPr>
              <w:t>及其</w:t>
            </w:r>
            <w:r>
              <w:rPr>
                <w:rFonts w:hint="eastAsia" w:ascii="华文仿宋" w:hAnsi="华文仿宋" w:eastAsia="华文仿宋" w:cs="华文仿宋"/>
                <w:b/>
                <w:bCs w:val="0"/>
                <w:color w:val="auto"/>
                <w:kern w:val="0"/>
                <w:sz w:val="24"/>
                <w:szCs w:val="24"/>
                <w:highlight w:val="none"/>
              </w:rPr>
              <w:t>附加</w:t>
            </w:r>
            <w:r>
              <w:rPr>
                <w:rFonts w:hint="eastAsia" w:ascii="华文仿宋" w:hAnsi="华文仿宋" w:eastAsia="华文仿宋" w:cs="华文仿宋"/>
                <w:b/>
                <w:bCs w:val="0"/>
                <w:color w:val="auto"/>
                <w:kern w:val="0"/>
                <w:sz w:val="24"/>
                <w:szCs w:val="24"/>
                <w:highlight w:val="none"/>
                <w:lang w:eastAsia="zh-CN"/>
              </w:rPr>
              <w:t>等相关</w:t>
            </w:r>
            <w:r>
              <w:rPr>
                <w:rFonts w:hint="eastAsia" w:ascii="华文仿宋" w:hAnsi="华文仿宋" w:eastAsia="华文仿宋" w:cs="华文仿宋"/>
                <w:b/>
                <w:bCs w:val="0"/>
                <w:color w:val="auto"/>
                <w:kern w:val="0"/>
                <w:sz w:val="24"/>
                <w:szCs w:val="24"/>
                <w:highlight w:val="none"/>
              </w:rPr>
              <w:t>税费后</w:t>
            </w:r>
            <w:r>
              <w:rPr>
                <w:rFonts w:hint="eastAsia" w:ascii="华文仿宋" w:hAnsi="华文仿宋" w:eastAsia="华文仿宋" w:cs="华文仿宋"/>
                <w:b/>
                <w:bCs w:val="0"/>
                <w:color w:val="auto"/>
                <w:kern w:val="0"/>
                <w:sz w:val="24"/>
                <w:szCs w:val="24"/>
                <w:highlight w:val="none"/>
                <w:lang w:eastAsia="zh-CN"/>
              </w:rPr>
              <w:t>，若投资收益</w:t>
            </w:r>
            <w:r>
              <w:rPr>
                <w:rFonts w:hint="eastAsia" w:ascii="华文仿宋" w:hAnsi="华文仿宋" w:eastAsia="华文仿宋" w:cs="华文仿宋"/>
                <w:b/>
                <w:bCs w:val="0"/>
                <w:color w:val="auto"/>
                <w:kern w:val="0"/>
                <w:sz w:val="24"/>
                <w:szCs w:val="24"/>
                <w:highlight w:val="none"/>
              </w:rPr>
              <w:t>超过业绩比较基准</w:t>
            </w:r>
            <w:r>
              <w:rPr>
                <w:rFonts w:hint="eastAsia" w:ascii="华文仿宋" w:hAnsi="华文仿宋" w:eastAsia="华文仿宋" w:cs="华文仿宋"/>
                <w:b/>
                <w:bCs w:val="0"/>
                <w:color w:val="auto"/>
                <w:kern w:val="0"/>
                <w:sz w:val="24"/>
                <w:szCs w:val="24"/>
                <w:highlight w:val="none"/>
                <w:lang w:val="en-US" w:eastAsia="zh-CN"/>
              </w:rPr>
              <w:t>4.30</w:t>
            </w:r>
            <w:r>
              <w:rPr>
                <w:rFonts w:hint="eastAsia" w:ascii="华文仿宋" w:hAnsi="华文仿宋" w:eastAsia="华文仿宋" w:cs="华文仿宋"/>
                <w:b/>
                <w:bCs w:val="0"/>
                <w:color w:val="auto"/>
                <w:kern w:val="0"/>
                <w:sz w:val="24"/>
                <w:szCs w:val="24"/>
                <w:highlight w:val="none"/>
              </w:rPr>
              <w:t>%</w:t>
            </w:r>
            <w:r>
              <w:rPr>
                <w:rFonts w:hint="eastAsia" w:ascii="华文仿宋" w:hAnsi="华文仿宋" w:eastAsia="华文仿宋" w:cs="华文仿宋"/>
                <w:b/>
                <w:bCs w:val="0"/>
                <w:color w:val="auto"/>
                <w:kern w:val="0"/>
                <w:sz w:val="24"/>
                <w:szCs w:val="24"/>
                <w:highlight w:val="none"/>
                <w:lang w:eastAsia="zh-CN"/>
              </w:rPr>
              <w:t>，则超出</w:t>
            </w:r>
            <w:r>
              <w:rPr>
                <w:rFonts w:hint="eastAsia" w:ascii="华文仿宋" w:hAnsi="华文仿宋" w:eastAsia="华文仿宋" w:cs="华文仿宋"/>
                <w:b/>
                <w:bCs w:val="0"/>
                <w:color w:val="auto"/>
                <w:kern w:val="0"/>
                <w:sz w:val="24"/>
                <w:szCs w:val="24"/>
                <w:highlight w:val="none"/>
              </w:rPr>
              <w:t>部分</w:t>
            </w:r>
            <w:r>
              <w:rPr>
                <w:rFonts w:hint="eastAsia" w:ascii="华文仿宋" w:hAnsi="华文仿宋" w:eastAsia="华文仿宋" w:cs="华文仿宋"/>
                <w:b/>
                <w:bCs w:val="0"/>
                <w:color w:val="auto"/>
                <w:kern w:val="0"/>
                <w:sz w:val="24"/>
                <w:szCs w:val="24"/>
                <w:highlight w:val="none"/>
                <w:lang w:eastAsia="zh-CN"/>
              </w:rPr>
              <w:t>均作为</w:t>
            </w:r>
            <w:r>
              <w:rPr>
                <w:rFonts w:hint="eastAsia" w:ascii="华文仿宋" w:hAnsi="华文仿宋" w:eastAsia="华文仿宋" w:cs="华文仿宋"/>
                <w:b/>
                <w:bCs w:val="0"/>
                <w:color w:val="auto"/>
                <w:kern w:val="0"/>
                <w:sz w:val="24"/>
                <w:szCs w:val="24"/>
                <w:highlight w:val="none"/>
              </w:rPr>
              <w:t>管理人</w:t>
            </w:r>
            <w:r>
              <w:rPr>
                <w:rFonts w:hint="eastAsia" w:ascii="华文仿宋" w:hAnsi="华文仿宋" w:eastAsia="华文仿宋" w:cs="华文仿宋"/>
                <w:b/>
                <w:bCs w:val="0"/>
                <w:color w:val="auto"/>
                <w:kern w:val="0"/>
                <w:sz w:val="24"/>
                <w:szCs w:val="24"/>
                <w:highlight w:val="none"/>
                <w:lang w:eastAsia="zh-CN"/>
              </w:rPr>
              <w:t>浮动管理费收取</w:t>
            </w:r>
            <w:r>
              <w:rPr>
                <w:rFonts w:hint="eastAsia" w:ascii="华文仿宋" w:hAnsi="华文仿宋" w:eastAsia="华文仿宋" w:cs="华文仿宋"/>
                <w:b/>
                <w:bCs w:val="0"/>
                <w:color w:val="auto"/>
                <w:kern w:val="0"/>
                <w:sz w:val="24"/>
                <w:szCs w:val="24"/>
                <w:highlight w:val="none"/>
              </w:rPr>
              <w:t>。</w:t>
            </w:r>
            <w:r>
              <w:rPr>
                <w:rFonts w:hint="eastAsia" w:ascii="华文仿宋" w:hAnsi="华文仿宋" w:eastAsia="华文仿宋" w:cs="华文仿宋"/>
                <w:b/>
                <w:bCs w:val="0"/>
                <w:color w:val="auto"/>
                <w:kern w:val="0"/>
                <w:sz w:val="24"/>
                <w:szCs w:val="24"/>
                <w:highlight w:val="none"/>
                <w:lang w:eastAsia="zh-CN"/>
              </w:rPr>
              <w:t>如</w:t>
            </w:r>
            <w:r>
              <w:rPr>
                <w:rFonts w:hint="eastAsia" w:ascii="华文仿宋" w:hAnsi="华文仿宋" w:eastAsia="华文仿宋" w:cs="华文仿宋"/>
                <w:b/>
                <w:bCs w:val="0"/>
                <w:color w:val="auto"/>
                <w:kern w:val="0"/>
                <w:sz w:val="24"/>
                <w:szCs w:val="24"/>
                <w:highlight w:val="none"/>
              </w:rPr>
              <w:t>低于业绩比较基准</w:t>
            </w:r>
            <w:r>
              <w:rPr>
                <w:rFonts w:hint="eastAsia" w:ascii="华文仿宋" w:hAnsi="华文仿宋" w:eastAsia="华文仿宋" w:cs="华文仿宋"/>
                <w:b/>
                <w:bCs w:val="0"/>
                <w:color w:val="auto"/>
                <w:kern w:val="0"/>
                <w:sz w:val="24"/>
                <w:szCs w:val="24"/>
                <w:highlight w:val="none"/>
                <w:lang w:val="en-US" w:eastAsia="zh-CN"/>
              </w:rPr>
              <w:t>4.30</w:t>
            </w:r>
            <w:r>
              <w:rPr>
                <w:rFonts w:hint="eastAsia" w:ascii="华文仿宋" w:hAnsi="华文仿宋" w:eastAsia="华文仿宋" w:cs="华文仿宋"/>
                <w:b/>
                <w:bCs w:val="0"/>
                <w:color w:val="auto"/>
                <w:kern w:val="0"/>
                <w:sz w:val="24"/>
                <w:szCs w:val="24"/>
                <w:highlight w:val="none"/>
              </w:rPr>
              <w:t>%(含)</w:t>
            </w:r>
            <w:r>
              <w:rPr>
                <w:rFonts w:hint="eastAsia" w:ascii="华文仿宋" w:hAnsi="华文仿宋" w:eastAsia="华文仿宋" w:cs="华文仿宋"/>
                <w:b/>
                <w:bCs w:val="0"/>
                <w:color w:val="auto"/>
                <w:kern w:val="0"/>
                <w:sz w:val="24"/>
                <w:szCs w:val="24"/>
                <w:highlight w:val="none"/>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投资人同意通过新疆银行官方网（www.xjbank.com）、新疆银行官方微信或相关营业网点及时了解相关信息公告。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highlight w:val="none"/>
              </w:rPr>
            </w:pPr>
            <w:r>
              <w:rPr>
                <w:rFonts w:hint="eastAsia" w:ascii="华文仿宋" w:hAnsi="华文仿宋" w:eastAsia="华文仿宋" w:cs="华文仿宋"/>
                <w:bCs/>
                <w:kern w:val="0"/>
                <w:sz w:val="24"/>
                <w:szCs w:val="24"/>
                <w:highlight w:val="none"/>
              </w:rPr>
              <w:t>其他规定</w:t>
            </w:r>
          </w:p>
        </w:tc>
        <w:tc>
          <w:tcPr>
            <w:tcW w:w="8048" w:type="dxa"/>
            <w:vAlign w:val="center"/>
          </w:tcPr>
          <w:p>
            <w:pPr>
              <w:spacing w:line="400" w:lineRule="exact"/>
              <w:jc w:val="left"/>
              <w:rPr>
                <w:rFonts w:ascii="华文仿宋" w:hAnsi="华文仿宋" w:eastAsia="华文仿宋" w:cs="华文仿宋"/>
                <w:sz w:val="24"/>
                <w:szCs w:val="24"/>
                <w:highlight w:val="none"/>
              </w:rPr>
            </w:pPr>
            <w:r>
              <w:rPr>
                <w:rFonts w:hint="eastAsia" w:ascii="华文仿宋" w:hAnsi="华文仿宋" w:eastAsia="华文仿宋" w:cs="华文仿宋"/>
                <w:bCs/>
                <w:kern w:val="0"/>
                <w:sz w:val="24"/>
                <w:szCs w:val="24"/>
                <w:highlight w:val="none"/>
              </w:rPr>
              <w:t>本理财产品认购后不得撤单。</w:t>
            </w:r>
          </w:p>
          <w:p>
            <w:pPr>
              <w:spacing w:line="400" w:lineRule="exact"/>
              <w:jc w:val="left"/>
              <w:rPr>
                <w:rFonts w:ascii="华文仿宋" w:hAnsi="华文仿宋" w:eastAsia="华文仿宋" w:cs="华文仿宋"/>
                <w:sz w:val="24"/>
                <w:szCs w:val="24"/>
                <w:highlight w:val="none"/>
              </w:rPr>
            </w:pPr>
            <w:r>
              <w:rPr>
                <w:rFonts w:hint="eastAsia" w:ascii="华文仿宋" w:hAnsi="华文仿宋" w:eastAsia="华文仿宋" w:cs="华文仿宋"/>
                <w:kern w:val="0"/>
                <w:sz w:val="24"/>
                <w:szCs w:val="24"/>
                <w:highlight w:val="none"/>
              </w:rPr>
              <w:t>本理财可以通过</w:t>
            </w:r>
            <w:r>
              <w:rPr>
                <w:rFonts w:hint="eastAsia" w:ascii="华文仿宋" w:hAnsi="华文仿宋" w:eastAsia="华文仿宋" w:cs="华文仿宋"/>
                <w:kern w:val="0"/>
                <w:sz w:val="24"/>
                <w:szCs w:val="24"/>
                <w:highlight w:val="none"/>
              </w:rPr>
              <w:sym w:font="Wingdings 2" w:char="0052"/>
            </w:r>
            <w:r>
              <w:rPr>
                <w:rFonts w:hint="eastAsia" w:ascii="华文仿宋" w:hAnsi="华文仿宋" w:eastAsia="华文仿宋" w:cs="华文仿宋"/>
                <w:b/>
                <w:bCs/>
                <w:kern w:val="0"/>
                <w:sz w:val="24"/>
                <w:szCs w:val="24"/>
                <w:highlight w:val="none"/>
              </w:rPr>
              <w:t>营业网点、</w:t>
            </w:r>
            <w:r>
              <w:rPr>
                <w:rFonts w:hint="eastAsia" w:ascii="华文仿宋" w:hAnsi="华文仿宋" w:eastAsia="华文仿宋" w:cs="华文仿宋"/>
                <w:kern w:val="0"/>
                <w:sz w:val="24"/>
                <w:szCs w:val="24"/>
                <w:highlight w:val="none"/>
              </w:rPr>
              <w:t>□</w:t>
            </w:r>
            <w:r>
              <w:rPr>
                <w:rFonts w:hint="eastAsia" w:ascii="华文仿宋" w:hAnsi="华文仿宋" w:eastAsia="华文仿宋" w:cs="华文仿宋"/>
                <w:b/>
                <w:bCs/>
                <w:kern w:val="0"/>
                <w:sz w:val="24"/>
                <w:szCs w:val="24"/>
                <w:highlight w:val="none"/>
              </w:rPr>
              <w:t>网上银行、</w:t>
            </w:r>
            <w:r>
              <w:rPr>
                <w:rFonts w:hint="eastAsia" w:ascii="华文仿宋" w:hAnsi="华文仿宋" w:eastAsia="华文仿宋" w:cs="华文仿宋"/>
                <w:kern w:val="0"/>
                <w:sz w:val="24"/>
                <w:szCs w:val="24"/>
                <w:highlight w:val="none"/>
              </w:rPr>
              <w:t>□</w:t>
            </w:r>
            <w:r>
              <w:rPr>
                <w:rFonts w:hint="eastAsia" w:ascii="华文仿宋" w:hAnsi="华文仿宋" w:eastAsia="华文仿宋" w:cs="华文仿宋"/>
                <w:b/>
                <w:bCs/>
                <w:kern w:val="0"/>
                <w:sz w:val="24"/>
                <w:szCs w:val="24"/>
                <w:highlight w:val="none"/>
              </w:rPr>
              <w:t>手机银行</w:t>
            </w:r>
            <w:r>
              <w:rPr>
                <w:rFonts w:hint="eastAsia" w:ascii="华文仿宋" w:hAnsi="华文仿宋" w:eastAsia="华文仿宋" w:cs="华文仿宋"/>
                <w:kern w:val="0"/>
                <w:sz w:val="24"/>
                <w:szCs w:val="24"/>
                <w:highlight w:val="none"/>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w:t>
      </w:r>
      <w:r>
        <w:rPr>
          <w:rFonts w:hint="eastAsia" w:ascii="华文仿宋" w:hAnsi="华文仿宋" w:eastAsia="华文仿宋" w:cs="华文仿宋"/>
          <w:kern w:val="0"/>
          <w:sz w:val="24"/>
          <w:szCs w:val="24"/>
          <w:lang w:eastAsia="zh-CN"/>
        </w:rPr>
        <w:t>和信托计划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7"/>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7"/>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4"/>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4"/>
          <w:rFonts w:hint="default" w:ascii="华文仿宋" w:hAnsi="华文仿宋" w:eastAsia="华文仿宋" w:cs="华文仿宋"/>
          <w:sz w:val="24"/>
          <w:szCs w:val="24"/>
        </w:rPr>
        <w:br w:type="textWrapping"/>
      </w:r>
      <w:r>
        <w:rPr>
          <w:rStyle w:val="15"/>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w:t>
      </w:r>
      <w:bookmarkStart w:id="0" w:name="_GoBack"/>
      <w:r>
        <w:rPr>
          <w:rFonts w:hint="eastAsia" w:ascii="华文仿宋" w:hAnsi="华文仿宋" w:eastAsia="华文仿宋" w:cs="华文仿宋"/>
          <w:bCs/>
          <w:kern w:val="0"/>
          <w:sz w:val="24"/>
          <w:szCs w:val="24"/>
        </w:rPr>
        <w:t>365/368=5.06%&gt;4.85%，即投资收益超过业绩比较基准，则投资管理人对超过业绩比较基准部</w:t>
      </w:r>
      <w:bookmarkEnd w:id="0"/>
      <w:r>
        <w:rPr>
          <w:rFonts w:hint="eastAsia" w:ascii="华文仿宋" w:hAnsi="华文仿宋" w:eastAsia="华文仿宋" w:cs="华文仿宋"/>
          <w:bCs/>
          <w:kern w:val="0"/>
          <w:sz w:val="24"/>
          <w:szCs w:val="24"/>
        </w:rPr>
        <w:t>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黑体" w:hAnsi="黑体" w:eastAsia="黑体" w:cs="黑体"/>
          <w:b/>
          <w:bCs/>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right="0"/>
        <w:jc w:val="left"/>
        <w:rPr>
          <w:rFonts w:hint="eastAsia" w:ascii="华文仿宋" w:hAnsi="华文仿宋" w:eastAsia="华文仿宋" w:cs="华文仿宋"/>
          <w:bCs/>
          <w:color w:val="000000"/>
          <w:kern w:val="0"/>
          <w:sz w:val="24"/>
          <w:szCs w:val="24"/>
          <w:highlight w:val="none"/>
          <w:lang w:val="en-US" w:eastAsia="zh-CN" w:bidi="ar"/>
        </w:rPr>
      </w:pPr>
      <w:r>
        <w:rPr>
          <w:rFonts w:hint="eastAsia" w:ascii="华文仿宋" w:hAnsi="华文仿宋" w:eastAsia="华文仿宋" w:cs="华文仿宋"/>
          <w:bCs/>
          <w:color w:val="000000"/>
          <w:kern w:val="0"/>
          <w:sz w:val="24"/>
          <w:szCs w:val="24"/>
          <w:highlight w:val="none"/>
          <w:lang w:val="en-US" w:eastAsia="zh-CN" w:bidi="ar"/>
        </w:rPr>
        <w:t xml:space="preserve">    2.在本产品存续期内，按季披露产品单位净值；</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714E9F"/>
    <w:rsid w:val="03955958"/>
    <w:rsid w:val="03BE3E9D"/>
    <w:rsid w:val="04AF546C"/>
    <w:rsid w:val="06AA54B4"/>
    <w:rsid w:val="074A0594"/>
    <w:rsid w:val="07587474"/>
    <w:rsid w:val="09252214"/>
    <w:rsid w:val="099D5811"/>
    <w:rsid w:val="0A2C2EA4"/>
    <w:rsid w:val="0A8D7997"/>
    <w:rsid w:val="0D9E76C0"/>
    <w:rsid w:val="0DCC06A1"/>
    <w:rsid w:val="0DDC7649"/>
    <w:rsid w:val="0E8F6CE4"/>
    <w:rsid w:val="0F2849D0"/>
    <w:rsid w:val="0F344F29"/>
    <w:rsid w:val="0F833DB6"/>
    <w:rsid w:val="11824445"/>
    <w:rsid w:val="120F35DB"/>
    <w:rsid w:val="12295BA1"/>
    <w:rsid w:val="12780E10"/>
    <w:rsid w:val="12EE12F4"/>
    <w:rsid w:val="14F135B5"/>
    <w:rsid w:val="150B39CF"/>
    <w:rsid w:val="158B366C"/>
    <w:rsid w:val="166528F4"/>
    <w:rsid w:val="18042655"/>
    <w:rsid w:val="18307F10"/>
    <w:rsid w:val="185946D3"/>
    <w:rsid w:val="19617D23"/>
    <w:rsid w:val="1A8B77C4"/>
    <w:rsid w:val="1B4476ED"/>
    <w:rsid w:val="1B8B56DD"/>
    <w:rsid w:val="1CFB3A9C"/>
    <w:rsid w:val="1F174233"/>
    <w:rsid w:val="1F8500EE"/>
    <w:rsid w:val="206F12C6"/>
    <w:rsid w:val="219B0D2E"/>
    <w:rsid w:val="21A175EC"/>
    <w:rsid w:val="2220322C"/>
    <w:rsid w:val="22BC6D50"/>
    <w:rsid w:val="24730B3D"/>
    <w:rsid w:val="25F77DD4"/>
    <w:rsid w:val="267A2E2F"/>
    <w:rsid w:val="282E437B"/>
    <w:rsid w:val="28791365"/>
    <w:rsid w:val="292A75D2"/>
    <w:rsid w:val="29A80E06"/>
    <w:rsid w:val="29C0055D"/>
    <w:rsid w:val="2BC914E0"/>
    <w:rsid w:val="2C35520A"/>
    <w:rsid w:val="2EC47150"/>
    <w:rsid w:val="2EF04DAC"/>
    <w:rsid w:val="2F41330F"/>
    <w:rsid w:val="2F8C2E55"/>
    <w:rsid w:val="2F9117B7"/>
    <w:rsid w:val="2FB06FC7"/>
    <w:rsid w:val="3042169D"/>
    <w:rsid w:val="315437AD"/>
    <w:rsid w:val="34AB2120"/>
    <w:rsid w:val="34D70B26"/>
    <w:rsid w:val="363C0B01"/>
    <w:rsid w:val="36872AFD"/>
    <w:rsid w:val="37014554"/>
    <w:rsid w:val="370234D1"/>
    <w:rsid w:val="3A332045"/>
    <w:rsid w:val="3A7D3C24"/>
    <w:rsid w:val="3B6E4155"/>
    <w:rsid w:val="3B9B1FD9"/>
    <w:rsid w:val="3BC03386"/>
    <w:rsid w:val="3CBD0075"/>
    <w:rsid w:val="3D4C494C"/>
    <w:rsid w:val="3DFC5C2C"/>
    <w:rsid w:val="3E8A3700"/>
    <w:rsid w:val="3F0A535E"/>
    <w:rsid w:val="3F196DCE"/>
    <w:rsid w:val="3F2040FB"/>
    <w:rsid w:val="409C44FE"/>
    <w:rsid w:val="42AC4926"/>
    <w:rsid w:val="42DD237F"/>
    <w:rsid w:val="43121CF7"/>
    <w:rsid w:val="43B6405B"/>
    <w:rsid w:val="43BC5778"/>
    <w:rsid w:val="44B22A69"/>
    <w:rsid w:val="47837790"/>
    <w:rsid w:val="48122FCB"/>
    <w:rsid w:val="48C41F58"/>
    <w:rsid w:val="4AA84823"/>
    <w:rsid w:val="4B072B50"/>
    <w:rsid w:val="4B711779"/>
    <w:rsid w:val="4D5765AE"/>
    <w:rsid w:val="4D835D19"/>
    <w:rsid w:val="4DC14671"/>
    <w:rsid w:val="50063C66"/>
    <w:rsid w:val="50202AC0"/>
    <w:rsid w:val="50CA1DC1"/>
    <w:rsid w:val="511F1CBA"/>
    <w:rsid w:val="51344803"/>
    <w:rsid w:val="51414667"/>
    <w:rsid w:val="529E0394"/>
    <w:rsid w:val="52C85679"/>
    <w:rsid w:val="534C60E1"/>
    <w:rsid w:val="552B1C1B"/>
    <w:rsid w:val="557C3BE9"/>
    <w:rsid w:val="57343AC5"/>
    <w:rsid w:val="57995907"/>
    <w:rsid w:val="57E86B41"/>
    <w:rsid w:val="58021263"/>
    <w:rsid w:val="58FB4856"/>
    <w:rsid w:val="5A3A65B9"/>
    <w:rsid w:val="5BA85F91"/>
    <w:rsid w:val="5BBC0B41"/>
    <w:rsid w:val="5F06242E"/>
    <w:rsid w:val="6099040F"/>
    <w:rsid w:val="60D12938"/>
    <w:rsid w:val="620B06BE"/>
    <w:rsid w:val="63B2608C"/>
    <w:rsid w:val="63D9371B"/>
    <w:rsid w:val="650134AF"/>
    <w:rsid w:val="66437D7B"/>
    <w:rsid w:val="66691F08"/>
    <w:rsid w:val="666D2BDA"/>
    <w:rsid w:val="66915AAB"/>
    <w:rsid w:val="6734067F"/>
    <w:rsid w:val="676B2A82"/>
    <w:rsid w:val="68107BBA"/>
    <w:rsid w:val="6ABD731A"/>
    <w:rsid w:val="6C2346AB"/>
    <w:rsid w:val="6D60040F"/>
    <w:rsid w:val="6D9846CE"/>
    <w:rsid w:val="6EF3563C"/>
    <w:rsid w:val="703C2EBA"/>
    <w:rsid w:val="705469F5"/>
    <w:rsid w:val="71961F41"/>
    <w:rsid w:val="71D81222"/>
    <w:rsid w:val="746F77E5"/>
    <w:rsid w:val="75B25B27"/>
    <w:rsid w:val="77564DA9"/>
    <w:rsid w:val="77692B6F"/>
    <w:rsid w:val="789C5150"/>
    <w:rsid w:val="7ABD364D"/>
    <w:rsid w:val="7CAB3AE1"/>
    <w:rsid w:val="7D0C1DD9"/>
    <w:rsid w:val="7D463D51"/>
    <w:rsid w:val="7E01172B"/>
    <w:rsid w:val="7E5F744D"/>
    <w:rsid w:val="7FCD7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242424"/>
      <w:u w:val="single"/>
    </w:rPr>
  </w:style>
  <w:style w:type="character" w:styleId="11">
    <w:name w:val="Hyperlink"/>
    <w:basedOn w:val="8"/>
    <w:unhideWhenUsed/>
    <w:qFormat/>
    <w:uiPriority w:val="99"/>
    <w:rPr>
      <w:color w:val="0000FF"/>
      <w:u w:val="single"/>
    </w:rPr>
  </w:style>
  <w:style w:type="character" w:customStyle="1" w:styleId="12">
    <w:name w:val="页眉 Char"/>
    <w:basedOn w:val="8"/>
    <w:link w:val="4"/>
    <w:semiHidden/>
    <w:qFormat/>
    <w:uiPriority w:val="99"/>
    <w:rPr>
      <w:rFonts w:ascii="Times New Roman" w:hAnsi="Times New Roman"/>
      <w:sz w:val="18"/>
      <w:szCs w:val="18"/>
    </w:rPr>
  </w:style>
  <w:style w:type="character" w:customStyle="1" w:styleId="13">
    <w:name w:val="页脚 Char"/>
    <w:basedOn w:val="8"/>
    <w:link w:val="3"/>
    <w:qFormat/>
    <w:uiPriority w:val="99"/>
    <w:rPr>
      <w:rFonts w:ascii="Times New Roman" w:hAnsi="Times New Roman"/>
      <w:sz w:val="18"/>
      <w:szCs w:val="18"/>
    </w:rPr>
  </w:style>
  <w:style w:type="character" w:customStyle="1" w:styleId="14">
    <w:name w:val="fontstyle01"/>
    <w:basedOn w:val="8"/>
    <w:qFormat/>
    <w:uiPriority w:val="0"/>
    <w:rPr>
      <w:rFonts w:hint="eastAsia" w:ascii="宋体" w:hAnsi="宋体" w:eastAsia="宋体" w:cs="宋体"/>
      <w:color w:val="000000"/>
      <w:sz w:val="22"/>
      <w:szCs w:val="22"/>
    </w:rPr>
  </w:style>
  <w:style w:type="character" w:customStyle="1" w:styleId="15">
    <w:name w:val="fontstyle11"/>
    <w:basedOn w:val="8"/>
    <w:qFormat/>
    <w:uiPriority w:val="0"/>
    <w:rPr>
      <w:rFonts w:ascii="仿宋" w:hAnsi="仿宋" w:eastAsia="仿宋" w:cs="仿宋"/>
      <w:color w:val="000000"/>
      <w:sz w:val="22"/>
      <w:szCs w:val="22"/>
    </w:rPr>
  </w:style>
  <w:style w:type="character" w:customStyle="1" w:styleId="16">
    <w:name w:val="批注框文本 Char"/>
    <w:basedOn w:val="8"/>
    <w:link w:val="2"/>
    <w:semiHidden/>
    <w:qFormat/>
    <w:uiPriority w:val="99"/>
    <w:rPr>
      <w:kern w:val="2"/>
      <w:sz w:val="18"/>
      <w:szCs w:val="18"/>
    </w:rPr>
  </w:style>
  <w:style w:type="paragraph" w:customStyle="1" w:styleId="17">
    <w:name w:val="List Paragraph"/>
    <w:basedOn w:val="1"/>
    <w:unhideWhenUsed/>
    <w:qFormat/>
    <w:uiPriority w:val="99"/>
    <w:pPr>
      <w:ind w:firstLine="420" w:firstLineChars="200"/>
    </w:pPr>
  </w:style>
  <w:style w:type="character" w:customStyle="1" w:styleId="18">
    <w:name w:val="wuidatespan"/>
    <w:basedOn w:val="8"/>
    <w:qFormat/>
    <w:uiPriority w:val="0"/>
  </w:style>
  <w:style w:type="paragraph" w:customStyle="1" w:styleId="19">
    <w:name w:val="_Style 18"/>
    <w:basedOn w:val="1"/>
    <w:next w:val="1"/>
    <w:qFormat/>
    <w:uiPriority w:val="0"/>
    <w:pPr>
      <w:pBdr>
        <w:bottom w:val="single" w:color="auto" w:sz="6" w:space="1"/>
      </w:pBdr>
      <w:jc w:val="center"/>
    </w:pPr>
    <w:rPr>
      <w:rFonts w:ascii="Arial" w:eastAsia="宋体"/>
      <w:vanish/>
      <w:sz w:val="16"/>
    </w:rPr>
  </w:style>
  <w:style w:type="paragraph" w:customStyle="1" w:styleId="20">
    <w:name w:val="_Style 1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TotalTime>14</TotalTime>
  <ScaleCrop>false</ScaleCrop>
  <LinksUpToDate>false</LinksUpToDate>
  <CharactersWithSpaces>6278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2019-06-26T14:16:00Z</cp:lastPrinted>
  <dcterms:modified xsi:type="dcterms:W3CDTF">2021-01-13T03:26:38Z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