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9"/>
          <w:rFonts w:hint="eastAsia" w:ascii="黑体" w:hAnsi="黑体" w:eastAsia="黑体" w:cs="宋体"/>
          <w:b/>
          <w:bCs/>
          <w:kern w:val="0"/>
          <w:sz w:val="28"/>
          <w:szCs w:val="28"/>
        </w:rPr>
      </w:pPr>
      <w:r>
        <w:rPr>
          <w:rStyle w:val="9"/>
          <w:rFonts w:hint="eastAsia" w:ascii="黑体" w:hAnsi="黑体" w:eastAsia="黑体" w:cs="宋体"/>
          <w:b/>
          <w:bCs/>
          <w:kern w:val="0"/>
          <w:sz w:val="28"/>
          <w:szCs w:val="28"/>
        </w:rPr>
        <w:t>新疆银行“金胡杨”封闭净值型人民币理财产品说明书</w:t>
      </w:r>
    </w:p>
    <w:p>
      <w:pPr>
        <w:spacing w:line="400" w:lineRule="exact"/>
        <w:jc w:val="center"/>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理财产品过往业绩不代表其未来表现，不等于理财产品实际收益</w:t>
      </w:r>
    </w:p>
    <w:p>
      <w:pPr>
        <w:spacing w:line="400" w:lineRule="exact"/>
        <w:jc w:val="center"/>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理财非存款、产品有风险、投资须谨慎</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重要须知：</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w:t>
      </w:r>
      <w:r>
        <w:rPr>
          <w:rFonts w:hint="eastAsia" w:ascii="黑体" w:hAnsi="黑体" w:eastAsia="黑体" w:cs="黑体"/>
          <w:b/>
          <w:bCs/>
          <w:color w:val="000000" w:themeColor="text1"/>
          <w:sz w:val="24"/>
          <w:szCs w:val="24"/>
          <w14:textFill>
            <w14:solidFill>
              <w14:schemeClr w14:val="tx1"/>
            </w14:solidFill>
          </w14:textFill>
        </w:rPr>
        <w:t xml:space="preserve"> 一、本说明书是《新疆银行股份有限公司人民币理财产品协议书》不可分割之部分。</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黑体" w:hAnsi="黑体" w:eastAsia="黑体" w:cs="黑体"/>
          <w:b/>
          <w:bCs/>
          <w:color w:val="000000" w:themeColor="text1"/>
          <w:sz w:val="24"/>
          <w:szCs w:val="24"/>
          <w:lang w:eastAsia="zh-CN"/>
          <w14:textFill>
            <w14:solidFill>
              <w14:schemeClr w14:val="tx1"/>
            </w14:solidFill>
          </w14:textFill>
        </w:rPr>
        <w:t>投资</w:t>
      </w:r>
      <w:r>
        <w:rPr>
          <w:rFonts w:hint="eastAsia" w:ascii="黑体" w:hAnsi="黑体" w:eastAsia="黑体" w:cs="黑体"/>
          <w:b/>
          <w:bCs/>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hint="eastAsia" w:ascii="黑体" w:hAnsi="黑体" w:eastAsia="黑体" w:cs="黑体"/>
          <w:b/>
          <w:bCs/>
          <w:color w:val="000000" w:themeColor="text1"/>
          <w:sz w:val="24"/>
          <w:szCs w:val="24"/>
          <w:highlight w:val="none"/>
          <w:lang w:eastAsia="zh-CN"/>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五</w:t>
      </w:r>
      <w:r>
        <w:rPr>
          <w:rFonts w:hint="eastAsia" w:ascii="黑体" w:hAnsi="黑体" w:eastAsia="黑体" w:cs="黑体"/>
          <w:b/>
          <w:bCs/>
          <w:color w:val="000000" w:themeColor="text1"/>
          <w:sz w:val="24"/>
          <w:szCs w:val="24"/>
          <w:highlight w:val="none"/>
          <w:lang w:eastAsia="zh-CN"/>
          <w14:textFill>
            <w14:solidFill>
              <w14:schemeClr w14:val="tx1"/>
            </w14:solidFill>
          </w14:textFill>
        </w:rPr>
        <w:t>、投资有风险，购买须谨慎。本理财产品可能涉及的相关风险具体内容见新疆银行提供的《风险揭示书》投资者应仔细阅读并签署《风险揭示书》。</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六</w:t>
      </w:r>
      <w:r>
        <w:rPr>
          <w:rFonts w:hint="eastAsia" w:ascii="黑体" w:hAnsi="黑体" w:eastAsia="黑体" w:cs="黑体"/>
          <w:b/>
          <w:bCs/>
          <w:color w:val="000000" w:themeColor="text1"/>
          <w:sz w:val="24"/>
          <w:szCs w:val="24"/>
          <w14:textFill>
            <w14:solidFill>
              <w14:schemeClr w14:val="tx1"/>
            </w14:solidFill>
          </w14:textFill>
        </w:rPr>
        <w:t>、在购买理财产品后，投资者应随时关注该理财产品的信息披露情况，及时获取相关信息。可依据本产品登记编码在“中国理财网(www.china</w:t>
      </w:r>
      <w:r>
        <w:rPr>
          <w:rFonts w:hint="eastAsia" w:ascii="黑体" w:hAnsi="黑体" w:eastAsia="黑体" w:cs="黑体"/>
          <w:b/>
          <w:bCs/>
          <w:color w:val="000000" w:themeColor="text1"/>
          <w:sz w:val="24"/>
          <w:szCs w:val="24"/>
          <w:lang w:val="en-US" w:eastAsia="zh-CN"/>
          <w14:textFill>
            <w14:solidFill>
              <w14:schemeClr w14:val="tx1"/>
            </w14:solidFill>
          </w14:textFill>
        </w:rPr>
        <w:t>w</w:t>
      </w:r>
      <w:r>
        <w:rPr>
          <w:rFonts w:hint="eastAsia" w:ascii="黑体" w:hAnsi="黑体" w:eastAsia="黑体" w:cs="黑体"/>
          <w:b/>
          <w:bCs/>
          <w:color w:val="000000" w:themeColor="text1"/>
          <w:sz w:val="24"/>
          <w:szCs w:val="24"/>
          <w14:textFill>
            <w14:solidFill>
              <w14:schemeClr w14:val="tx1"/>
            </w14:solidFill>
          </w14:textFill>
        </w:rPr>
        <w:t>ealth.com.cn)”查询产品信息。</w:t>
      </w:r>
    </w:p>
    <w:p>
      <w:pPr>
        <w:spacing w:line="400" w:lineRule="exact"/>
        <w:rPr>
          <w:rStyle w:val="9"/>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rPr>
                                <w:rFonts w:hint="eastAsia" w:ascii="黑体" w:hAnsi="黑体" w:eastAsia="黑体" w:cs="黑体"/>
                              </w:rPr>
                            </w:pPr>
                            <w:r>
                              <w:rPr>
                                <w:rFonts w:hint="eastAsia" w:ascii="黑体" w:hAnsi="黑体" w:eastAsia="黑体" w:cs="黑体"/>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rPr>
                          <w:rFonts w:hint="eastAsia" w:ascii="黑体" w:hAnsi="黑体" w:eastAsia="黑体" w:cs="黑体"/>
                        </w:rPr>
                      </w:pPr>
                      <w:r>
                        <w:rPr>
                          <w:rFonts w:hint="eastAsia" w:ascii="黑体" w:hAnsi="黑体" w:eastAsia="黑体" w:cs="黑体"/>
                          <w:b/>
                          <w:bCs/>
                          <w:color w:val="000000"/>
                          <w:sz w:val="28"/>
                          <w:szCs w:val="28"/>
                        </w:rPr>
                        <w:t>本产品特别提示</w:t>
                      </w:r>
                    </w:p>
                  </w:txbxContent>
                </v:textbox>
              </v:shape>
            </w:pict>
          </mc:Fallback>
        </mc:AlternateContent>
      </w:r>
    </w:p>
    <w:p>
      <w:pPr>
        <w:spacing w:line="400" w:lineRule="exact"/>
        <w:rPr>
          <w:rStyle w:val="9"/>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spacing w:line="400" w:lineRule="exact"/>
                              <w:jc w:val="left"/>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hint="eastAsia" w:ascii="黑体" w:hAnsi="黑体" w:eastAsia="黑体" w:cs="黑体"/>
                          <w:b/>
                          <w:bCs/>
                          <w:color w:val="000000"/>
                          <w:sz w:val="24"/>
                          <w:szCs w:val="24"/>
                        </w:rPr>
                      </w:pPr>
                      <w:r>
                        <w:rPr>
                          <w:rStyle w:val="9"/>
                          <w:rFonts w:hint="eastAsia" w:ascii="黑体" w:hAnsi="黑体" w:eastAsia="黑体" w:cs="黑体"/>
                          <w:b/>
                          <w:bCs/>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9"/>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spacing w:line="400" w:lineRule="exact"/>
                        <w:jc w:val="left"/>
                        <w:rPr>
                          <w:rStyle w:val="9"/>
                          <w:rFonts w:hint="eastAsia" w:ascii="黑体" w:hAnsi="黑体" w:eastAsia="黑体" w:cs="黑体"/>
                          <w:b/>
                          <w:bCs/>
                          <w:kern w:val="0"/>
                          <w:sz w:val="24"/>
                          <w:szCs w:val="24"/>
                        </w:rPr>
                      </w:pPr>
                      <w:r>
                        <w:rPr>
                          <w:rStyle w:val="9"/>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9"/>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9"/>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p>
      <w:pPr>
        <w:spacing w:line="400" w:lineRule="exact"/>
        <w:rPr>
          <w:rStyle w:val="9"/>
          <w:rFonts w:ascii="宋体" w:hAnsi="宋体" w:cs="宋体"/>
          <w:kern w:val="0"/>
          <w:sz w:val="18"/>
          <w:szCs w:val="18"/>
        </w:rPr>
      </w:pP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新疆银行金胡杨封闭净值型理财</w:t>
            </w:r>
            <w:r>
              <w:rPr>
                <w:rFonts w:hint="eastAsia" w:ascii="华文仿宋" w:hAnsi="华文仿宋" w:eastAsia="华文仿宋" w:cs="华文仿宋"/>
                <w:bCs/>
                <w:kern w:val="0"/>
                <w:sz w:val="24"/>
                <w:szCs w:val="24"/>
                <w:lang w:eastAsia="zh-CN"/>
              </w:rPr>
              <w:t>第</w:t>
            </w:r>
            <w:r>
              <w:rPr>
                <w:rFonts w:hint="eastAsia" w:ascii="华文仿宋" w:hAnsi="华文仿宋" w:eastAsia="华文仿宋" w:cs="华文仿宋"/>
                <w:bCs/>
                <w:kern w:val="0"/>
                <w:sz w:val="24"/>
                <w:szCs w:val="24"/>
                <w:lang w:val="en-US" w:eastAsia="zh-CN"/>
              </w:rPr>
              <w:t>58期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产品登记编码</w:t>
            </w:r>
          </w:p>
        </w:tc>
        <w:tc>
          <w:tcPr>
            <w:tcW w:w="8048" w:type="dxa"/>
            <w:vAlign w:val="center"/>
          </w:tcPr>
          <w:p>
            <w:pPr>
              <w:spacing w:line="400" w:lineRule="exact"/>
              <w:jc w:val="left"/>
              <w:rPr>
                <w:rFonts w:hint="default" w:ascii="华文仿宋" w:hAnsi="华文仿宋" w:eastAsia="华文仿宋" w:cs="华文仿宋"/>
                <w:b/>
                <w:bCs w:val="0"/>
                <w:kern w:val="0"/>
                <w:sz w:val="24"/>
                <w:szCs w:val="24"/>
                <w:lang w:val="en-US" w:eastAsia="zh-CN"/>
              </w:rPr>
            </w:pPr>
            <w:r>
              <w:rPr>
                <w:rFonts w:hint="eastAsia" w:ascii="华文仿宋" w:hAnsi="华文仿宋" w:eastAsia="华文仿宋" w:cs="华文仿宋"/>
                <w:b/>
                <w:bCs w:val="0"/>
                <w:kern w:val="0"/>
                <w:sz w:val="24"/>
                <w:szCs w:val="24"/>
              </w:rPr>
              <w:t>C136432100000</w:t>
            </w:r>
            <w:r>
              <w:rPr>
                <w:rFonts w:hint="eastAsia" w:ascii="华文仿宋" w:hAnsi="华文仿宋" w:eastAsia="华文仿宋" w:cs="华文仿宋"/>
                <w:b/>
                <w:bCs w:val="0"/>
                <w:kern w:val="0"/>
                <w:sz w:val="24"/>
                <w:szCs w:val="24"/>
                <w:lang w:val="en-US" w:eastAsia="zh-CN"/>
              </w:rPr>
              <w:t>4</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产品类型</w:t>
            </w:r>
          </w:p>
        </w:tc>
        <w:tc>
          <w:tcPr>
            <w:tcW w:w="8048" w:type="dxa"/>
            <w:vAlign w:val="center"/>
          </w:tcPr>
          <w:p>
            <w:pPr>
              <w:spacing w:line="400" w:lineRule="exact"/>
              <w:jc w:val="left"/>
              <w:rPr>
                <w:rFonts w:ascii="华文仿宋" w:hAnsi="华文仿宋" w:eastAsia="华文仿宋" w:cs="华文仿宋"/>
                <w:b/>
                <w:bCs/>
                <w:sz w:val="24"/>
                <w:szCs w:val="24"/>
              </w:rPr>
            </w:pPr>
            <w:r>
              <w:rPr>
                <w:rStyle w:val="9"/>
                <w:rFonts w:hint="eastAsia" w:ascii="华文仿宋" w:hAnsi="华文仿宋" w:eastAsia="华文仿宋" w:cs="华文仿宋"/>
                <w:b/>
                <w:bCs/>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Style w:val="9"/>
                <w:rFonts w:hint="eastAsia" w:ascii="华文仿宋" w:hAnsi="华文仿宋" w:eastAsia="华文仿宋" w:cs="华文仿宋"/>
                <w:b/>
                <w:bCs/>
                <w:kern w:val="0"/>
                <w:sz w:val="24"/>
                <w:szCs w:val="24"/>
              </w:rPr>
            </w:pPr>
            <w:r>
              <w:rPr>
                <w:rFonts w:hint="eastAsia" w:ascii="华文仿宋" w:hAnsi="华文仿宋" w:eastAsia="华文仿宋" w:cs="华文仿宋"/>
                <w:b/>
                <w:bCs w:val="0"/>
                <w:kern w:val="0"/>
                <w:sz w:val="24"/>
                <w:szCs w:val="24"/>
              </w:rPr>
              <w:t>产品运作模式</w:t>
            </w:r>
          </w:p>
        </w:tc>
        <w:tc>
          <w:tcPr>
            <w:tcW w:w="8048" w:type="dxa"/>
            <w:vAlign w:val="center"/>
          </w:tcPr>
          <w:p>
            <w:pPr>
              <w:spacing w:line="400" w:lineRule="exact"/>
              <w:jc w:val="left"/>
              <w:rPr>
                <w:rStyle w:val="9"/>
                <w:rFonts w:ascii="华文仿宋" w:hAnsi="华文仿宋" w:eastAsia="华文仿宋" w:cs="华文仿宋"/>
                <w:b/>
                <w:bCs/>
                <w:kern w:val="0"/>
                <w:sz w:val="24"/>
                <w:szCs w:val="24"/>
              </w:rPr>
            </w:pPr>
            <w:r>
              <w:rPr>
                <w:rStyle w:val="9"/>
                <w:rFonts w:hint="eastAsia" w:ascii="华文仿宋" w:hAnsi="华文仿宋" w:eastAsia="华文仿宋" w:cs="华文仿宋"/>
                <w:b/>
                <w:bCs/>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9"/>
                <w:rFonts w:ascii="华文仿宋" w:hAnsi="华文仿宋" w:eastAsia="华文仿宋" w:cs="华文仿宋"/>
                <w:b w:val="0"/>
                <w:bCs w:val="0"/>
                <w:kern w:val="0"/>
                <w:sz w:val="24"/>
                <w:szCs w:val="24"/>
              </w:rPr>
            </w:pPr>
            <w:r>
              <w:rPr>
                <w:rStyle w:val="9"/>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产品期限</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266</w:t>
            </w:r>
            <w:r>
              <w:rPr>
                <w:rFonts w:hint="eastAsia" w:ascii="华文仿宋" w:hAnsi="华文仿宋" w:eastAsia="华文仿宋" w:cs="华文仿宋"/>
                <w:b/>
                <w:bCs w:val="0"/>
                <w:kern w:val="0"/>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R2</w:t>
            </w:r>
            <w:r>
              <w:rPr>
                <w:rFonts w:hint="eastAsia" w:ascii="华文仿宋" w:hAnsi="华文仿宋" w:eastAsia="华文仿宋" w:cs="华文仿宋"/>
                <w:b/>
                <w:kern w:val="0"/>
                <w:sz w:val="24"/>
                <w:szCs w:val="24"/>
                <w:lang w:eastAsia="zh-CN"/>
              </w:rPr>
              <w:t>中低风险</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经新疆银行风险评估，本产品适合</w:t>
            </w:r>
            <w:r>
              <w:rPr>
                <w:rFonts w:hint="eastAsia" w:ascii="华文仿宋" w:hAnsi="华文仿宋" w:eastAsia="华文仿宋" w:cs="华文仿宋"/>
                <w:b/>
                <w:bCs/>
                <w:sz w:val="24"/>
                <w:szCs w:val="24"/>
              </w:rPr>
              <w:t>稳健型、平衡型、成长型、进取型</w:t>
            </w:r>
            <w:r>
              <w:rPr>
                <w:rFonts w:hint="eastAsia" w:ascii="华文仿宋" w:hAnsi="华文仿宋" w:eastAsia="华文仿宋" w:cs="华文仿宋"/>
                <w:bCs/>
                <w:kern w:val="0"/>
                <w:sz w:val="24"/>
                <w:szCs w:val="24"/>
              </w:rPr>
              <w:t>的不特定社会公众</w:t>
            </w:r>
            <w:r>
              <w:rPr>
                <w:rFonts w:hint="eastAsia" w:ascii="华文仿宋" w:hAnsi="华文仿宋" w:eastAsia="华文仿宋" w:cs="华文仿宋"/>
                <w:bCs/>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认购起点</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本理财产品认购起点为人民币1万元，以1千元整数倍递增。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val="0"/>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 xml:space="preserve"> 20000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3000</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01</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22</w:t>
            </w:r>
            <w:r>
              <w:rPr>
                <w:rFonts w:hint="eastAsia" w:ascii="华文仿宋" w:hAnsi="华文仿宋" w:eastAsia="华文仿宋" w:cs="华文仿宋"/>
                <w:b/>
                <w:bCs w:val="0"/>
                <w:kern w:val="0"/>
                <w:sz w:val="24"/>
                <w:szCs w:val="24"/>
              </w:rPr>
              <w:t>日至</w:t>
            </w:r>
            <w:r>
              <w:rPr>
                <w:rFonts w:hint="eastAsia" w:ascii="华文仿宋" w:hAnsi="华文仿宋" w:eastAsia="华文仿宋" w:cs="华文仿宋"/>
                <w:b/>
                <w:bCs w:val="0"/>
                <w:kern w:val="0"/>
                <w:sz w:val="24"/>
                <w:szCs w:val="24"/>
                <w:lang w:val="en-US" w:eastAsia="zh-CN"/>
              </w:rPr>
              <w:t>2021</w:t>
            </w:r>
            <w:r>
              <w:rPr>
                <w:rFonts w:hint="eastAsia" w:ascii="华文仿宋" w:hAnsi="华文仿宋" w:eastAsia="华文仿宋" w:cs="华文仿宋"/>
                <w:b/>
                <w:bCs w:val="0"/>
                <w:kern w:val="0"/>
                <w:sz w:val="24"/>
                <w:szCs w:val="24"/>
              </w:rPr>
              <w:t>年</w:t>
            </w:r>
            <w:r>
              <w:rPr>
                <w:rFonts w:hint="eastAsia" w:ascii="华文仿宋" w:hAnsi="华文仿宋" w:eastAsia="华文仿宋" w:cs="华文仿宋"/>
                <w:b/>
                <w:bCs w:val="0"/>
                <w:kern w:val="0"/>
                <w:sz w:val="24"/>
                <w:szCs w:val="24"/>
                <w:lang w:val="en-US" w:eastAsia="zh-CN"/>
              </w:rPr>
              <w:t>01</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27</w:t>
            </w:r>
            <w:r>
              <w:rPr>
                <w:rFonts w:hint="eastAsia" w:ascii="华文仿宋" w:hAnsi="华文仿宋" w:eastAsia="华文仿宋" w:cs="华文仿宋"/>
                <w:b/>
                <w:bCs w:val="0"/>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产品成立日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kern w:val="0"/>
                <w:sz w:val="24"/>
                <w:szCs w:val="24"/>
                <w:lang w:val="en-US" w:eastAsia="zh-CN"/>
              </w:rPr>
              <w:t>2021</w:t>
            </w:r>
            <w:r>
              <w:rPr>
                <w:rFonts w:hint="eastAsia" w:ascii="华文仿宋" w:hAnsi="华文仿宋" w:eastAsia="华文仿宋" w:cs="华文仿宋"/>
                <w:b/>
                <w:bCs/>
                <w:kern w:val="0"/>
                <w:sz w:val="24"/>
                <w:szCs w:val="24"/>
              </w:rPr>
              <w:t xml:space="preserve">年 </w:t>
            </w:r>
            <w:r>
              <w:rPr>
                <w:rFonts w:hint="eastAsia" w:ascii="华文仿宋" w:hAnsi="华文仿宋" w:eastAsia="华文仿宋" w:cs="华文仿宋"/>
                <w:b/>
                <w:bCs/>
                <w:kern w:val="0"/>
                <w:sz w:val="24"/>
                <w:szCs w:val="24"/>
                <w:lang w:val="en-US" w:eastAsia="zh-CN"/>
              </w:rPr>
              <w:t>01</w:t>
            </w:r>
            <w:r>
              <w:rPr>
                <w:rFonts w:hint="eastAsia" w:ascii="华文仿宋" w:hAnsi="华文仿宋" w:eastAsia="华文仿宋" w:cs="华文仿宋"/>
                <w:b/>
                <w:bCs/>
                <w:kern w:val="0"/>
                <w:sz w:val="24"/>
                <w:szCs w:val="24"/>
              </w:rPr>
              <w:t>月</w:t>
            </w:r>
            <w:r>
              <w:rPr>
                <w:rFonts w:hint="eastAsia" w:ascii="华文仿宋" w:hAnsi="华文仿宋" w:eastAsia="华文仿宋" w:cs="华文仿宋"/>
                <w:b/>
                <w:bCs/>
                <w:kern w:val="0"/>
                <w:sz w:val="24"/>
                <w:szCs w:val="24"/>
                <w:lang w:val="en-US" w:eastAsia="zh-CN"/>
              </w:rPr>
              <w:t>28</w:t>
            </w:r>
            <w:r>
              <w:rPr>
                <w:rFonts w:hint="eastAsia" w:ascii="华文仿宋" w:hAnsi="华文仿宋" w:eastAsia="华文仿宋" w:cs="华文仿宋"/>
                <w:b/>
                <w:bCs/>
                <w:kern w:val="0"/>
                <w:sz w:val="24"/>
                <w:szCs w:val="24"/>
              </w:rPr>
              <w:t>日，理财产品自成立日起计算理财收益。在正常情况下，产品的成立日为募集期结束后的第一个工作日。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产品到期日</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sz w:val="24"/>
                <w:szCs w:val="24"/>
                <w:lang w:val="en-US" w:eastAsia="zh-CN"/>
              </w:rPr>
              <w:t>2021年 10</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21日</w:t>
            </w:r>
            <w:r>
              <w:rPr>
                <w:rFonts w:hint="eastAsia" w:ascii="华文仿宋" w:hAnsi="华文仿宋" w:eastAsia="华文仿宋" w:cs="华文仿宋"/>
                <w:b/>
                <w:bCs w:val="0"/>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sz w:val="24"/>
                <w:szCs w:val="24"/>
              </w:rPr>
              <w:t>如遇非工作日则顺延至其后第一个工作日，</w:t>
            </w:r>
            <w:r>
              <w:rPr>
                <w:rFonts w:hint="eastAsia" w:ascii="华文仿宋" w:hAnsi="华文仿宋" w:eastAsia="华文仿宋" w:cs="华文仿宋"/>
                <w:b/>
                <w:bCs w:val="0"/>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
                <w:bCs w:val="0"/>
                <w:sz w:val="24"/>
                <w:szCs w:val="24"/>
                <w:lang w:val="en-US" w:eastAsia="zh-CN"/>
              </w:rPr>
              <w:t>2021</w:t>
            </w:r>
            <w:r>
              <w:rPr>
                <w:rFonts w:hint="eastAsia" w:ascii="华文仿宋" w:hAnsi="华文仿宋" w:eastAsia="华文仿宋" w:cs="华文仿宋"/>
                <w:b/>
                <w:bCs w:val="0"/>
                <w:sz w:val="24"/>
                <w:szCs w:val="24"/>
              </w:rPr>
              <w:t>年</w:t>
            </w:r>
            <w:r>
              <w:rPr>
                <w:rFonts w:hint="eastAsia" w:ascii="华文仿宋" w:hAnsi="华文仿宋" w:eastAsia="华文仿宋" w:cs="华文仿宋"/>
                <w:b/>
                <w:bCs w:val="0"/>
                <w:sz w:val="24"/>
                <w:szCs w:val="24"/>
                <w:lang w:val="en-US" w:eastAsia="zh-CN"/>
              </w:rPr>
              <w:t>10</w:t>
            </w:r>
            <w:r>
              <w:rPr>
                <w:rFonts w:hint="eastAsia" w:ascii="华文仿宋" w:hAnsi="华文仿宋" w:eastAsia="华文仿宋" w:cs="华文仿宋"/>
                <w:b/>
                <w:bCs w:val="0"/>
                <w:sz w:val="24"/>
                <w:szCs w:val="24"/>
              </w:rPr>
              <w:t>月</w:t>
            </w:r>
            <w:r>
              <w:rPr>
                <w:rFonts w:hint="eastAsia" w:ascii="华文仿宋" w:hAnsi="华文仿宋" w:eastAsia="华文仿宋" w:cs="华文仿宋"/>
                <w:b/>
                <w:bCs w:val="0"/>
                <w:sz w:val="24"/>
                <w:szCs w:val="24"/>
                <w:lang w:val="en-US" w:eastAsia="zh-CN"/>
              </w:rPr>
              <w:t>21日</w:t>
            </w:r>
            <w:r>
              <w:rPr>
                <w:rFonts w:hint="eastAsia" w:ascii="华文仿宋" w:hAnsi="华文仿宋" w:eastAsia="华文仿宋" w:cs="华文仿宋"/>
                <w:b/>
                <w:bCs w:val="0"/>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
                <w:bCs w:val="0"/>
                <w:kern w:val="0"/>
                <w:sz w:val="24"/>
                <w:szCs w:val="24"/>
              </w:rPr>
              <w:t>（网址：www.xjbank.com）</w:t>
            </w:r>
            <w:r>
              <w:rPr>
                <w:rFonts w:hint="eastAsia" w:ascii="华文仿宋" w:hAnsi="华文仿宋" w:eastAsia="华文仿宋" w:cs="华文仿宋"/>
                <w:b/>
                <w:bCs w:val="0"/>
                <w:sz w:val="24"/>
                <w:szCs w:val="24"/>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本产品业绩比较基准为</w:t>
            </w:r>
            <w:r>
              <w:rPr>
                <w:rFonts w:hint="eastAsia" w:ascii="华文仿宋" w:hAnsi="华文仿宋" w:eastAsia="华文仿宋" w:cs="华文仿宋"/>
                <w:b/>
                <w:bCs w:val="0"/>
                <w:kern w:val="0"/>
                <w:sz w:val="24"/>
                <w:szCs w:val="24"/>
                <w:lang w:val="en-US" w:eastAsia="zh-CN"/>
              </w:rPr>
              <w:t xml:space="preserve"> 4.10</w:t>
            </w:r>
            <w:r>
              <w:rPr>
                <w:rFonts w:hint="eastAsia" w:ascii="华文仿宋" w:hAnsi="华文仿宋" w:eastAsia="华文仿宋" w:cs="华文仿宋"/>
                <w:b/>
                <w:bCs w:val="0"/>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本产品</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销售管理费</w:t>
            </w:r>
            <w:r>
              <w:rPr>
                <w:rFonts w:hint="eastAsia" w:ascii="华文仿宋" w:hAnsi="华文仿宋" w:eastAsia="华文仿宋" w:cs="华文仿宋"/>
                <w:b/>
                <w:bCs w:val="0"/>
                <w:color w:val="auto"/>
                <w:kern w:val="0"/>
                <w:sz w:val="24"/>
                <w:szCs w:val="24"/>
                <w:lang w:val="en-US" w:eastAsia="zh-CN"/>
              </w:rPr>
              <w:t>0%/年、</w:t>
            </w:r>
            <w:r>
              <w:rPr>
                <w:rFonts w:hint="eastAsia" w:ascii="华文仿宋" w:hAnsi="华文仿宋" w:eastAsia="华文仿宋" w:cs="华文仿宋"/>
                <w:b/>
                <w:bCs w:val="0"/>
                <w:color w:val="auto"/>
                <w:kern w:val="0"/>
                <w:sz w:val="24"/>
                <w:szCs w:val="24"/>
                <w:lang w:eastAsia="zh-CN"/>
              </w:rPr>
              <w:t>产品</w:t>
            </w:r>
            <w:r>
              <w:rPr>
                <w:rFonts w:hint="eastAsia" w:ascii="华文仿宋" w:hAnsi="华文仿宋" w:eastAsia="华文仿宋" w:cs="华文仿宋"/>
                <w:b/>
                <w:bCs w:val="0"/>
                <w:color w:val="auto"/>
                <w:kern w:val="0"/>
                <w:sz w:val="24"/>
                <w:szCs w:val="24"/>
              </w:rPr>
              <w:t>托管费</w:t>
            </w:r>
            <w:r>
              <w:rPr>
                <w:rFonts w:hint="eastAsia" w:ascii="华文仿宋" w:hAnsi="华文仿宋" w:eastAsia="华文仿宋" w:cs="华文仿宋"/>
                <w:b/>
                <w:bCs w:val="0"/>
                <w:color w:val="auto"/>
                <w:kern w:val="0"/>
                <w:sz w:val="24"/>
                <w:szCs w:val="24"/>
                <w:lang w:val="en-US" w:eastAsia="zh-CN"/>
              </w:rPr>
              <w:t xml:space="preserve"> 0.01</w:t>
            </w:r>
            <w:r>
              <w:rPr>
                <w:rFonts w:hint="eastAsia" w:ascii="华文仿宋" w:hAnsi="华文仿宋" w:eastAsia="华文仿宋" w:cs="华文仿宋"/>
                <w:b/>
                <w:bCs w:val="0"/>
                <w:color w:val="auto"/>
                <w:kern w:val="0"/>
                <w:sz w:val="24"/>
                <w:szCs w:val="24"/>
              </w:rPr>
              <w:t>%/年、固定管理费</w:t>
            </w:r>
            <w:r>
              <w:rPr>
                <w:rFonts w:hint="eastAsia" w:ascii="华文仿宋" w:hAnsi="华文仿宋" w:eastAsia="华文仿宋" w:cs="华文仿宋"/>
                <w:b/>
                <w:bCs w:val="0"/>
                <w:color w:val="auto"/>
                <w:kern w:val="0"/>
                <w:sz w:val="24"/>
                <w:szCs w:val="24"/>
                <w:lang w:val="en-US" w:eastAsia="zh-CN"/>
              </w:rPr>
              <w:t xml:space="preserve">0.2 </w:t>
            </w:r>
            <w:r>
              <w:rPr>
                <w:rFonts w:hint="eastAsia" w:ascii="华文仿宋" w:hAnsi="华文仿宋" w:eastAsia="华文仿宋" w:cs="华文仿宋"/>
                <w:b/>
                <w:bCs w:val="0"/>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
                <w:bCs w:val="0"/>
                <w:color w:val="auto"/>
                <w:kern w:val="0"/>
                <w:sz w:val="24"/>
                <w:szCs w:val="24"/>
              </w:rPr>
            </w:pPr>
            <w:r>
              <w:rPr>
                <w:rFonts w:hint="eastAsia" w:ascii="华文仿宋" w:hAnsi="华文仿宋" w:eastAsia="华文仿宋" w:cs="华文仿宋"/>
                <w:b/>
                <w:bCs w:val="0"/>
                <w:color w:val="auto"/>
                <w:kern w:val="0"/>
                <w:sz w:val="24"/>
                <w:szCs w:val="24"/>
              </w:rPr>
              <w:t>浮动管理费</w:t>
            </w:r>
            <w:r>
              <w:rPr>
                <w:rFonts w:hint="eastAsia" w:ascii="华文仿宋" w:hAnsi="华文仿宋" w:eastAsia="华文仿宋" w:cs="华文仿宋"/>
                <w:b/>
                <w:bCs w:val="0"/>
                <w:color w:val="auto"/>
                <w:kern w:val="0"/>
                <w:sz w:val="24"/>
                <w:szCs w:val="24"/>
                <w:lang w:eastAsia="zh-CN"/>
              </w:rPr>
              <w:t>收取</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在本</w:t>
            </w:r>
            <w:r>
              <w:rPr>
                <w:rFonts w:hint="eastAsia" w:ascii="华文仿宋" w:hAnsi="华文仿宋" w:eastAsia="华文仿宋" w:cs="华文仿宋"/>
                <w:b/>
                <w:bCs w:val="0"/>
                <w:color w:val="auto"/>
                <w:kern w:val="0"/>
                <w:sz w:val="24"/>
                <w:szCs w:val="24"/>
              </w:rPr>
              <w:t>产品到期日或提前终止日，剔除销售管理费、托管费、固定管理费以及产品</w:t>
            </w:r>
            <w:r>
              <w:rPr>
                <w:rFonts w:hint="eastAsia" w:ascii="华文仿宋" w:hAnsi="华文仿宋" w:eastAsia="华文仿宋" w:cs="华文仿宋"/>
                <w:b/>
                <w:bCs w:val="0"/>
                <w:color w:val="auto"/>
                <w:kern w:val="0"/>
                <w:sz w:val="24"/>
                <w:szCs w:val="24"/>
                <w:lang w:eastAsia="zh-CN"/>
              </w:rPr>
              <w:t>应承担</w:t>
            </w:r>
            <w:r>
              <w:rPr>
                <w:rFonts w:hint="eastAsia" w:ascii="华文仿宋" w:hAnsi="华文仿宋" w:eastAsia="华文仿宋" w:cs="华文仿宋"/>
                <w:b/>
                <w:bCs w:val="0"/>
                <w:color w:val="auto"/>
                <w:kern w:val="0"/>
                <w:sz w:val="24"/>
                <w:szCs w:val="24"/>
              </w:rPr>
              <w:t>的增值税</w:t>
            </w:r>
            <w:r>
              <w:rPr>
                <w:rFonts w:hint="eastAsia" w:ascii="华文仿宋" w:hAnsi="华文仿宋" w:eastAsia="华文仿宋" w:cs="华文仿宋"/>
                <w:b/>
                <w:bCs w:val="0"/>
                <w:color w:val="auto"/>
                <w:kern w:val="0"/>
                <w:sz w:val="24"/>
                <w:szCs w:val="24"/>
                <w:lang w:eastAsia="zh-CN"/>
              </w:rPr>
              <w:t>及其</w:t>
            </w:r>
            <w:r>
              <w:rPr>
                <w:rFonts w:hint="eastAsia" w:ascii="华文仿宋" w:hAnsi="华文仿宋" w:eastAsia="华文仿宋" w:cs="华文仿宋"/>
                <w:b/>
                <w:bCs w:val="0"/>
                <w:color w:val="auto"/>
                <w:kern w:val="0"/>
                <w:sz w:val="24"/>
                <w:szCs w:val="24"/>
              </w:rPr>
              <w:t>附加</w:t>
            </w:r>
            <w:r>
              <w:rPr>
                <w:rFonts w:hint="eastAsia" w:ascii="华文仿宋" w:hAnsi="华文仿宋" w:eastAsia="华文仿宋" w:cs="华文仿宋"/>
                <w:b/>
                <w:bCs w:val="0"/>
                <w:color w:val="auto"/>
                <w:kern w:val="0"/>
                <w:sz w:val="24"/>
                <w:szCs w:val="24"/>
                <w:lang w:eastAsia="zh-CN"/>
              </w:rPr>
              <w:t>等相关</w:t>
            </w:r>
            <w:r>
              <w:rPr>
                <w:rFonts w:hint="eastAsia" w:ascii="华文仿宋" w:hAnsi="华文仿宋" w:eastAsia="华文仿宋" w:cs="华文仿宋"/>
                <w:b/>
                <w:bCs w:val="0"/>
                <w:color w:val="auto"/>
                <w:kern w:val="0"/>
                <w:sz w:val="24"/>
                <w:szCs w:val="24"/>
              </w:rPr>
              <w:t>税费后</w:t>
            </w:r>
            <w:r>
              <w:rPr>
                <w:rFonts w:hint="eastAsia" w:ascii="华文仿宋" w:hAnsi="华文仿宋" w:eastAsia="华文仿宋" w:cs="华文仿宋"/>
                <w:b/>
                <w:bCs w:val="0"/>
                <w:color w:val="auto"/>
                <w:kern w:val="0"/>
                <w:sz w:val="24"/>
                <w:szCs w:val="24"/>
                <w:lang w:eastAsia="zh-CN"/>
              </w:rPr>
              <w:t>，投资收益</w:t>
            </w:r>
            <w:r>
              <w:rPr>
                <w:rFonts w:hint="eastAsia" w:ascii="华文仿宋" w:hAnsi="华文仿宋" w:eastAsia="华文仿宋" w:cs="华文仿宋"/>
                <w:b/>
                <w:bCs w:val="0"/>
                <w:color w:val="auto"/>
                <w:kern w:val="0"/>
                <w:sz w:val="24"/>
                <w:szCs w:val="24"/>
              </w:rPr>
              <w:t>超过业绩比较基准</w:t>
            </w:r>
            <w:r>
              <w:rPr>
                <w:rFonts w:hint="eastAsia" w:ascii="华文仿宋" w:hAnsi="华文仿宋" w:eastAsia="华文仿宋" w:cs="华文仿宋"/>
                <w:b/>
                <w:bCs w:val="0"/>
                <w:color w:val="auto"/>
                <w:kern w:val="0"/>
                <w:sz w:val="24"/>
                <w:szCs w:val="24"/>
                <w:lang w:val="en-US" w:eastAsia="zh-CN"/>
              </w:rPr>
              <w:t>4.10</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w:t>
            </w:r>
            <w:r>
              <w:rPr>
                <w:rFonts w:hint="eastAsia" w:ascii="华文仿宋" w:hAnsi="华文仿宋" w:eastAsia="华文仿宋" w:cs="华文仿宋"/>
                <w:b/>
                <w:bCs w:val="0"/>
                <w:color w:val="auto"/>
                <w:kern w:val="0"/>
                <w:sz w:val="24"/>
                <w:szCs w:val="24"/>
              </w:rPr>
              <w:t>部分</w:t>
            </w:r>
            <w:r>
              <w:rPr>
                <w:rFonts w:hint="eastAsia" w:ascii="华文仿宋" w:hAnsi="华文仿宋" w:eastAsia="华文仿宋" w:cs="华文仿宋"/>
                <w:b/>
                <w:bCs w:val="0"/>
                <w:color w:val="auto"/>
                <w:kern w:val="0"/>
                <w:sz w:val="24"/>
                <w:szCs w:val="24"/>
                <w:lang w:eastAsia="zh-CN"/>
              </w:rPr>
              <w:t>，</w:t>
            </w:r>
            <w:r>
              <w:rPr>
                <w:rFonts w:hint="eastAsia" w:ascii="华文仿宋" w:hAnsi="华文仿宋" w:eastAsia="华文仿宋" w:cs="华文仿宋"/>
                <w:b/>
                <w:bCs w:val="0"/>
                <w:color w:val="auto"/>
                <w:kern w:val="0"/>
                <w:sz w:val="24"/>
                <w:szCs w:val="24"/>
              </w:rPr>
              <w:t>管理人</w:t>
            </w:r>
            <w:r>
              <w:rPr>
                <w:rFonts w:hint="eastAsia" w:ascii="华文仿宋" w:hAnsi="华文仿宋" w:eastAsia="华文仿宋" w:cs="华文仿宋"/>
                <w:b/>
                <w:bCs w:val="0"/>
                <w:color w:val="auto"/>
                <w:kern w:val="0"/>
                <w:sz w:val="24"/>
                <w:szCs w:val="24"/>
                <w:lang w:eastAsia="zh-CN"/>
              </w:rPr>
              <w:t>可按照</w:t>
            </w:r>
            <w:r>
              <w:rPr>
                <w:rFonts w:hint="eastAsia" w:ascii="华文仿宋" w:hAnsi="华文仿宋" w:eastAsia="华文仿宋" w:cs="华文仿宋"/>
                <w:b/>
                <w:bCs w:val="0"/>
                <w:color w:val="auto"/>
                <w:kern w:val="0"/>
                <w:sz w:val="24"/>
                <w:szCs w:val="24"/>
                <w:lang w:val="en-US" w:eastAsia="zh-CN"/>
              </w:rPr>
              <w:t xml:space="preserve"> 95</w:t>
            </w:r>
            <w:r>
              <w:rPr>
                <w:rFonts w:hint="eastAsia" w:ascii="华文仿宋" w:hAnsi="华文仿宋" w:eastAsia="华文仿宋" w:cs="华文仿宋"/>
                <w:b/>
                <w:bCs w:val="0"/>
                <w:color w:val="auto"/>
                <w:kern w:val="0"/>
                <w:sz w:val="24"/>
                <w:szCs w:val="24"/>
              </w:rPr>
              <w:t>%</w:t>
            </w:r>
            <w:r>
              <w:rPr>
                <w:rFonts w:hint="eastAsia" w:ascii="华文仿宋" w:hAnsi="华文仿宋" w:eastAsia="华文仿宋" w:cs="华文仿宋"/>
                <w:b/>
                <w:bCs w:val="0"/>
                <w:color w:val="auto"/>
                <w:kern w:val="0"/>
                <w:sz w:val="24"/>
                <w:szCs w:val="24"/>
                <w:lang w:eastAsia="zh-CN"/>
              </w:rPr>
              <w:t>的比例提取浮动管理费，</w:t>
            </w:r>
            <w:r>
              <w:rPr>
                <w:rFonts w:hint="eastAsia" w:ascii="华文仿宋" w:hAnsi="华文仿宋" w:eastAsia="华文仿宋" w:cs="华文仿宋"/>
                <w:b/>
                <w:bCs w:val="0"/>
                <w:color w:val="auto"/>
                <w:kern w:val="0"/>
                <w:sz w:val="24"/>
                <w:szCs w:val="24"/>
              </w:rPr>
              <w:t>剩余</w:t>
            </w:r>
            <w:r>
              <w:rPr>
                <w:rFonts w:hint="eastAsia" w:ascii="华文仿宋" w:hAnsi="华文仿宋" w:eastAsia="华文仿宋" w:cs="华文仿宋"/>
                <w:b/>
                <w:bCs w:val="0"/>
                <w:color w:val="auto"/>
                <w:kern w:val="0"/>
                <w:sz w:val="24"/>
                <w:szCs w:val="24"/>
                <w:lang w:val="en-US" w:eastAsia="zh-CN"/>
              </w:rPr>
              <w:t>部分</w:t>
            </w:r>
            <w:r>
              <w:rPr>
                <w:rFonts w:hint="eastAsia" w:ascii="华文仿宋" w:hAnsi="华文仿宋" w:eastAsia="华文仿宋" w:cs="华文仿宋"/>
                <w:b/>
                <w:bCs w:val="0"/>
                <w:color w:val="auto"/>
                <w:kern w:val="0"/>
                <w:sz w:val="24"/>
                <w:szCs w:val="24"/>
              </w:rPr>
              <w:t>归客户所有。</w:t>
            </w:r>
            <w:r>
              <w:rPr>
                <w:rFonts w:hint="eastAsia" w:ascii="华文仿宋" w:hAnsi="华文仿宋" w:eastAsia="华文仿宋" w:cs="华文仿宋"/>
                <w:b/>
                <w:bCs w:val="0"/>
                <w:color w:val="auto"/>
                <w:kern w:val="0"/>
                <w:sz w:val="24"/>
                <w:szCs w:val="24"/>
                <w:lang w:eastAsia="zh-CN"/>
              </w:rPr>
              <w:t>如</w:t>
            </w:r>
            <w:r>
              <w:rPr>
                <w:rFonts w:hint="eastAsia" w:ascii="华文仿宋" w:hAnsi="华文仿宋" w:eastAsia="华文仿宋" w:cs="华文仿宋"/>
                <w:b/>
                <w:bCs w:val="0"/>
                <w:color w:val="auto"/>
                <w:kern w:val="0"/>
                <w:sz w:val="24"/>
                <w:szCs w:val="24"/>
              </w:rPr>
              <w:t>低于业绩比较基准</w:t>
            </w:r>
            <w:r>
              <w:rPr>
                <w:rFonts w:hint="eastAsia" w:ascii="华文仿宋" w:hAnsi="华文仿宋" w:eastAsia="华文仿宋" w:cs="华文仿宋"/>
                <w:b/>
                <w:bCs w:val="0"/>
                <w:color w:val="auto"/>
                <w:kern w:val="0"/>
                <w:sz w:val="24"/>
                <w:szCs w:val="24"/>
                <w:lang w:val="en-US" w:eastAsia="zh-CN"/>
              </w:rPr>
              <w:t xml:space="preserve"> 4.10</w:t>
            </w:r>
            <w:r>
              <w:rPr>
                <w:rFonts w:hint="eastAsia" w:ascii="华文仿宋" w:hAnsi="华文仿宋" w:eastAsia="华文仿宋" w:cs="华文仿宋"/>
                <w:b/>
                <w:bCs w:val="0"/>
                <w:color w:val="auto"/>
                <w:kern w:val="0"/>
                <w:sz w:val="24"/>
                <w:szCs w:val="24"/>
              </w:rPr>
              <w:t>%(含)</w:t>
            </w:r>
            <w:r>
              <w:rPr>
                <w:rFonts w:hint="eastAsia" w:ascii="华文仿宋" w:hAnsi="华文仿宋" w:eastAsia="华文仿宋" w:cs="华文仿宋"/>
                <w:b/>
                <w:bCs w:val="0"/>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color w:val="auto"/>
                <w:kern w:val="0"/>
                <w:sz w:val="24"/>
                <w:szCs w:val="24"/>
              </w:rPr>
              <w:t>本产品运作和清算中产生的其他资金汇划费、结算费、交易手续费、注册</w:t>
            </w:r>
            <w:r>
              <w:rPr>
                <w:rFonts w:hint="eastAsia" w:ascii="华文仿宋" w:hAnsi="华文仿宋" w:eastAsia="华文仿宋" w:cs="华文仿宋"/>
                <w:b/>
                <w:bCs w:val="0"/>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color w:val="000000"/>
                <w:kern w:val="0"/>
                <w:sz w:val="24"/>
                <w:szCs w:val="24"/>
              </w:rPr>
              <w:t>4.</w:t>
            </w:r>
            <w:r>
              <w:rPr>
                <w:rFonts w:hint="eastAsia" w:ascii="华文仿宋" w:hAnsi="华文仿宋" w:eastAsia="华文仿宋" w:cs="华文仿宋"/>
                <w:b/>
                <w:bCs w:val="0"/>
                <w:kern w:val="0"/>
                <w:sz w:val="24"/>
                <w:szCs w:val="24"/>
                <w:highlight w:val="none"/>
                <w:lang w:val="en-US" w:eastAsia="zh-CN"/>
              </w:rPr>
              <w:t>上述费用在计算客户产品单位净值前扣除，费用计提按照产品上日总净值，计息基础为实际天数/365，</w:t>
            </w:r>
            <w:r>
              <w:rPr>
                <w:rFonts w:hint="eastAsia" w:ascii="华文仿宋" w:hAnsi="华文仿宋" w:eastAsia="华文仿宋" w:cs="华文仿宋"/>
                <w:b/>
                <w:bCs w:val="0"/>
                <w:color w:val="00000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提前终止权</w:t>
            </w:r>
          </w:p>
        </w:tc>
        <w:tc>
          <w:tcPr>
            <w:tcW w:w="8048" w:type="dxa"/>
            <w:vAlign w:val="center"/>
          </w:tcPr>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
                <w:bCs w:val="0"/>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对账单</w:t>
            </w:r>
          </w:p>
        </w:tc>
        <w:tc>
          <w:tcPr>
            <w:tcW w:w="8048" w:type="dxa"/>
            <w:vAlign w:val="center"/>
          </w:tcPr>
          <w:p>
            <w:pPr>
              <w:spacing w:line="400" w:lineRule="exact"/>
              <w:jc w:val="left"/>
              <w:rPr>
                <w:rFonts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投资人同意通过新疆银行官方网站（</w:t>
            </w:r>
            <w:r>
              <w:rPr>
                <w:rFonts w:hint="eastAsia" w:ascii="华文仿宋" w:hAnsi="华文仿宋" w:eastAsia="华文仿宋" w:cs="华文仿宋"/>
                <w:b/>
                <w:bCs w:val="0"/>
                <w:kern w:val="0"/>
                <w:sz w:val="24"/>
                <w:szCs w:val="24"/>
              </w:rPr>
              <w:fldChar w:fldCharType="begin"/>
            </w:r>
            <w:r>
              <w:rPr>
                <w:rFonts w:hint="eastAsia" w:ascii="华文仿宋" w:hAnsi="华文仿宋" w:eastAsia="华文仿宋" w:cs="华文仿宋"/>
                <w:b/>
                <w:bCs w:val="0"/>
                <w:kern w:val="0"/>
                <w:sz w:val="24"/>
                <w:szCs w:val="24"/>
              </w:rPr>
              <w:instrText xml:space="preserve"> HYPERLINK "http://www.xjbank.com/" \h </w:instrText>
            </w:r>
            <w:r>
              <w:rPr>
                <w:rFonts w:hint="eastAsia" w:ascii="华文仿宋" w:hAnsi="华文仿宋" w:eastAsia="华文仿宋" w:cs="华文仿宋"/>
                <w:b/>
                <w:bCs w:val="0"/>
                <w:kern w:val="0"/>
                <w:sz w:val="24"/>
                <w:szCs w:val="24"/>
              </w:rPr>
              <w:fldChar w:fldCharType="separate"/>
            </w:r>
            <w:r>
              <w:rPr>
                <w:rFonts w:hint="eastAsia" w:ascii="华文仿宋" w:hAnsi="华文仿宋" w:eastAsia="华文仿宋" w:cs="华文仿宋"/>
                <w:b/>
                <w:bCs w:val="0"/>
                <w:kern w:val="0"/>
                <w:sz w:val="24"/>
                <w:szCs w:val="24"/>
              </w:rPr>
              <w:t>www.xjbank.com</w:t>
            </w:r>
            <w:r>
              <w:rPr>
                <w:rFonts w:hint="eastAsia" w:ascii="华文仿宋" w:hAnsi="华文仿宋" w:eastAsia="华文仿宋" w:cs="华文仿宋"/>
                <w:b/>
                <w:bCs w:val="0"/>
                <w:kern w:val="0"/>
                <w:sz w:val="24"/>
                <w:szCs w:val="24"/>
              </w:rPr>
              <w:fldChar w:fldCharType="end"/>
            </w:r>
            <w:r>
              <w:rPr>
                <w:rFonts w:hint="eastAsia" w:ascii="华文仿宋" w:hAnsi="华文仿宋" w:eastAsia="华文仿宋" w:cs="华文仿宋"/>
                <w:b/>
                <w:bCs w:val="0"/>
                <w:kern w:val="0"/>
                <w:sz w:val="24"/>
                <w:szCs w:val="24"/>
              </w:rPr>
              <w:t>）、新疆银行官方微信</w:t>
            </w:r>
            <w:r>
              <w:rPr>
                <w:rFonts w:hint="eastAsia" w:ascii="华文仿宋" w:hAnsi="华文仿宋" w:eastAsia="华文仿宋" w:cs="华文仿宋"/>
                <w:b/>
                <w:bCs w:val="0"/>
                <w:kern w:val="0"/>
                <w:sz w:val="24"/>
                <w:szCs w:val="24"/>
                <w:lang w:eastAsia="zh-CN"/>
              </w:rPr>
              <w:t>或</w:t>
            </w:r>
            <w:r>
              <w:rPr>
                <w:rFonts w:hint="eastAsia" w:ascii="华文仿宋" w:hAnsi="华文仿宋" w:eastAsia="华文仿宋" w:cs="华文仿宋"/>
                <w:b/>
                <w:bCs w:val="0"/>
                <w:kern w:val="0"/>
                <w:sz w:val="24"/>
                <w:szCs w:val="24"/>
              </w:rPr>
              <w:t>相关</w:t>
            </w:r>
            <w:r>
              <w:rPr>
                <w:rFonts w:hint="eastAsia" w:ascii="华文仿宋" w:hAnsi="华文仿宋" w:eastAsia="华文仿宋" w:cs="华文仿宋"/>
                <w:b/>
                <w:bCs w:val="0"/>
                <w:kern w:val="0"/>
                <w:sz w:val="24"/>
                <w:szCs w:val="24"/>
                <w:lang w:eastAsia="zh-CN"/>
              </w:rPr>
              <w:t>电子渠道及</w:t>
            </w:r>
            <w:r>
              <w:rPr>
                <w:rFonts w:hint="eastAsia" w:ascii="华文仿宋" w:hAnsi="华文仿宋" w:eastAsia="华文仿宋" w:cs="华文仿宋"/>
                <w:b/>
                <w:bCs w:val="0"/>
                <w:kern w:val="0"/>
                <w:sz w:val="24"/>
                <w:szCs w:val="24"/>
              </w:rPr>
              <w:t>营业网点及时了解</w:t>
            </w:r>
            <w:r>
              <w:rPr>
                <w:rFonts w:hint="eastAsia" w:ascii="华文仿宋" w:hAnsi="华文仿宋" w:eastAsia="华文仿宋" w:cs="华文仿宋"/>
                <w:b/>
                <w:bCs w:val="0"/>
                <w:kern w:val="0"/>
                <w:sz w:val="24"/>
                <w:szCs w:val="24"/>
                <w:lang w:eastAsia="zh-CN"/>
              </w:rPr>
              <w:t>产品</w:t>
            </w:r>
            <w:r>
              <w:rPr>
                <w:rFonts w:hint="eastAsia" w:ascii="华文仿宋" w:hAnsi="华文仿宋" w:eastAsia="华文仿宋" w:cs="华文仿宋"/>
                <w:b/>
                <w:bCs w:val="0"/>
                <w:kern w:val="0"/>
                <w:sz w:val="24"/>
                <w:szCs w:val="24"/>
              </w:rPr>
              <w:t>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r>
              <w:rPr>
                <w:rFonts w:hint="eastAsia" w:cs="宋体" w:asciiTheme="minorEastAsia" w:hAnsiTheme="minorEastAsia" w:eastAsiaTheme="minorEastAsia"/>
                <w:kern w:val="0"/>
                <w:sz w:val="18"/>
                <w:szCs w:val="18"/>
                <w:lang w:eastAsia="zh-CN"/>
              </w:rPr>
              <w:drawing>
                <wp:anchor distT="0" distB="0" distL="114300" distR="114300" simplePos="0" relativeHeight="251711488" behindDoc="1" locked="0" layoutInCell="1" allowOverlap="1">
                  <wp:simplePos x="0" y="0"/>
                  <wp:positionH relativeFrom="column">
                    <wp:posOffset>-714375</wp:posOffset>
                  </wp:positionH>
                  <wp:positionV relativeFrom="paragraph">
                    <wp:posOffset>-487045</wp:posOffset>
                  </wp:positionV>
                  <wp:extent cx="7560310" cy="9756775"/>
                  <wp:effectExtent l="0" t="0" r="2540" b="15875"/>
                  <wp:wrapNone/>
                  <wp:docPr id="4" name="图片 4" descr="水印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水印_Print"/>
                          <pic:cNvPicPr>
                            <a:picLocks noChangeAspect="1"/>
                          </pic:cNvPicPr>
                        </pic:nvPicPr>
                        <pic:blipFill>
                          <a:blip r:embed="rId7"/>
                          <a:srcRect t="8894"/>
                          <a:stretch>
                            <a:fillRect/>
                          </a:stretch>
                        </pic:blipFill>
                        <pic:spPr>
                          <a:xfrm>
                            <a:off x="0" y="0"/>
                            <a:ext cx="7560310" cy="9756775"/>
                          </a:xfrm>
                          <a:prstGeom prst="rect">
                            <a:avLst/>
                          </a:prstGeom>
                        </pic:spPr>
                      </pic:pic>
                    </a:graphicData>
                  </a:graphic>
                </wp:anchor>
              </w:drawing>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本理财产品认购</w:t>
            </w:r>
            <w:r>
              <w:rPr>
                <w:rFonts w:hint="eastAsia" w:ascii="华文仿宋" w:hAnsi="华文仿宋" w:eastAsia="华文仿宋" w:cs="华文仿宋"/>
                <w:bCs/>
                <w:kern w:val="0"/>
                <w:sz w:val="24"/>
                <w:szCs w:val="24"/>
                <w:lang w:eastAsia="zh-CN"/>
              </w:rPr>
              <w:t>成功</w:t>
            </w:r>
            <w:r>
              <w:rPr>
                <w:rFonts w:hint="eastAsia" w:ascii="华文仿宋" w:hAnsi="华文仿宋" w:eastAsia="华文仿宋" w:cs="华文仿宋"/>
                <w:bCs/>
                <w:kern w:val="0"/>
                <w:sz w:val="24"/>
                <w:szCs w:val="24"/>
              </w:rPr>
              <w:t>后不得撤单。</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lang w:eastAsia="zh-CN"/>
              </w:rPr>
              <w:t>宁波银行股份有限公司</w:t>
            </w:r>
          </w:p>
        </w:tc>
      </w:tr>
    </w:tbl>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二、投资范围</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固定收益类资产：包括但不限于国债、中央银行票据、同业存单、金融债、企业债、公司债、中期票据、短期融资券、超短期融资券、定向债务融资工具（PPN）、资产支持证券、资产支持票据(ABN）、</w:t>
      </w:r>
      <w:r>
        <w:rPr>
          <w:rFonts w:hint="eastAsia" w:ascii="华文仿宋" w:hAnsi="华文仿宋" w:eastAsia="华文仿宋" w:cs="华文仿宋"/>
          <w:kern w:val="0"/>
          <w:sz w:val="24"/>
          <w:szCs w:val="24"/>
          <w:lang w:eastAsia="zh-CN"/>
        </w:rPr>
        <w:t>同业借款</w:t>
      </w:r>
      <w:r>
        <w:rPr>
          <w:rFonts w:hint="eastAsia" w:ascii="华文仿宋" w:hAnsi="华文仿宋" w:eastAsia="华文仿宋" w:cs="华文仿宋"/>
          <w:kern w:val="0"/>
          <w:sz w:val="24"/>
          <w:szCs w:val="24"/>
        </w:rPr>
        <w:t>及底层资产为上述资产的各类资管计划、</w:t>
      </w:r>
      <w:r>
        <w:rPr>
          <w:rFonts w:hint="eastAsia" w:ascii="华文仿宋" w:hAnsi="华文仿宋" w:eastAsia="华文仿宋" w:cs="华文仿宋"/>
          <w:kern w:val="0"/>
          <w:sz w:val="24"/>
          <w:szCs w:val="24"/>
          <w:lang w:eastAsia="zh-CN"/>
        </w:rPr>
        <w:t>信托计划</w:t>
      </w:r>
      <w:r>
        <w:rPr>
          <w:rFonts w:hint="eastAsia" w:ascii="华文仿宋" w:hAnsi="华文仿宋" w:eastAsia="华文仿宋" w:cs="华文仿宋"/>
          <w:kern w:val="0"/>
          <w:sz w:val="24"/>
          <w:szCs w:val="24"/>
        </w:rPr>
        <w:t>等；</w:t>
      </w:r>
    </w:p>
    <w:p>
      <w:pPr>
        <w:numPr>
          <w:ilvl w:val="0"/>
          <w:numId w:val="2"/>
        </w:num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各类资产的投资比例为：现金类资产、货币市场工具、货币市场基金和固定收益类资产的比例为80%-100%；其他符合监管要求的资产0%-20%。</w:t>
      </w:r>
    </w:p>
    <w:p>
      <w:pPr>
        <w:pStyle w:val="16"/>
        <w:numPr>
          <w:ilvl w:val="0"/>
          <w:numId w:val="2"/>
        </w:numPr>
        <w:spacing w:line="38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6"/>
        <w:numPr>
          <w:ilvl w:val="0"/>
          <w:numId w:val="2"/>
        </w:num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spacing w:line="38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spacing w:line="38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产品资产净值是指理财产品资产总额减去负债总额后的价值。</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本理财产品单位净值=理财产品总资产净值/理财产品总份额</w:t>
      </w:r>
      <w:r>
        <w:rPr>
          <w:rFonts w:hint="eastAsia" w:ascii="华文仿宋" w:hAnsi="华文仿宋" w:eastAsia="华文仿宋" w:cs="华文仿宋"/>
          <w:b/>
          <w:bCs/>
          <w:kern w:val="0"/>
          <w:sz w:val="24"/>
          <w:szCs w:val="24"/>
          <w:lang w:eastAsia="zh-CN"/>
        </w:rPr>
        <w:t>，理财产品单位净值小数点六位后四舍五入。</w:t>
      </w:r>
    </w:p>
    <w:p>
      <w:pPr>
        <w:widowControl/>
        <w:spacing w:line="400" w:lineRule="exact"/>
        <w:ind w:firstLine="361"/>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认购份额=认购金额/1元，认购份额保留至0.01份理财产品份额，小数点</w:t>
      </w:r>
      <w:r>
        <w:rPr>
          <w:rFonts w:hint="eastAsia" w:ascii="华文仿宋" w:hAnsi="华文仿宋" w:eastAsia="华文仿宋" w:cs="华文仿宋"/>
          <w:b/>
          <w:bCs/>
          <w:kern w:val="0"/>
          <w:sz w:val="24"/>
          <w:szCs w:val="24"/>
          <w:lang w:eastAsia="zh-CN"/>
        </w:rPr>
        <w:t>两位后</w:t>
      </w:r>
      <w:r>
        <w:rPr>
          <w:rFonts w:hint="eastAsia" w:ascii="华文仿宋" w:hAnsi="华文仿宋" w:eastAsia="华文仿宋" w:cs="华文仿宋"/>
          <w:b/>
          <w:bCs/>
          <w:kern w:val="0"/>
          <w:sz w:val="24"/>
          <w:szCs w:val="24"/>
        </w:rPr>
        <w:t>四舍五入。</w:t>
      </w:r>
    </w:p>
    <w:p>
      <w:pPr>
        <w:numPr>
          <w:ilvl w:val="0"/>
          <w:numId w:val="3"/>
        </w:numPr>
        <w:spacing w:line="38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spacing w:line="38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6"/>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tc>
        <w:tc>
          <w:tcPr>
            <w:tcW w:w="3405" w:type="dxa"/>
          </w:tcPr>
          <w:p/>
        </w:tc>
        <w:tc>
          <w:tcPr>
            <w:tcW w:w="4808"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spacing w:line="400" w:lineRule="exact"/>
              <w:jc w:val="left"/>
              <w:rPr>
                <w:rFonts w:ascii="华文仿宋" w:hAnsi="华文仿宋" w:eastAsia="华文仿宋" w:cs="华文仿宋"/>
                <w:kern w:val="0"/>
                <w:sz w:val="24"/>
                <w:szCs w:val="24"/>
              </w:rPr>
            </w:pP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2.国家有最新规定的，按其规定进行估值。</w:t>
      </w:r>
    </w:p>
    <w:p>
      <w:pPr>
        <w:spacing w:line="38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 xml:space="preserve">   （四）暂停估值</w:t>
      </w:r>
    </w:p>
    <w:p>
      <w:pPr>
        <w:spacing w:line="38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当产品资产的估值因不可抗力或其他情形致使产品管理人、产品托管人无法准确评估产品资产价值或监管部门认定的其他情形时，理财产品管理人可暂停产品的估值直至另行通知。</w:t>
      </w:r>
    </w:p>
    <w:p>
      <w:pPr>
        <w:spacing w:line="380" w:lineRule="exact"/>
        <w:ind w:firstLine="480" w:firstLineChars="200"/>
        <w:jc w:val="left"/>
        <w:rPr>
          <w:rFonts w:ascii="华文仿宋" w:hAnsi="华文仿宋" w:eastAsia="华文仿宋" w:cs="华文仿宋"/>
          <w:b/>
          <w:bCs/>
          <w:sz w:val="24"/>
          <w:szCs w:val="24"/>
        </w:rPr>
      </w:pPr>
      <w:r>
        <w:rPr>
          <w:rFonts w:hint="eastAsia" w:ascii="华文仿宋" w:hAnsi="华文仿宋" w:eastAsia="华文仿宋" w:cs="华文仿宋"/>
          <w:b/>
          <w:bCs/>
          <w:sz w:val="24"/>
          <w:szCs w:val="24"/>
        </w:rPr>
        <w:t>五、理财产品费用及收益</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kern w:val="0"/>
          <w:sz w:val="24"/>
          <w:szCs w:val="24"/>
        </w:rPr>
        <w:t>1.声明</w:t>
      </w:r>
      <w:r>
        <w:rPr>
          <w:rStyle w:val="13"/>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3"/>
          <w:rFonts w:hint="default" w:ascii="华文仿宋" w:hAnsi="华文仿宋" w:eastAsia="华文仿宋" w:cs="华文仿宋"/>
          <w:sz w:val="24"/>
          <w:szCs w:val="24"/>
        </w:rPr>
        <w:br w:type="textWrapping"/>
      </w:r>
      <w:r>
        <w:rPr>
          <w:rStyle w:val="14"/>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 xml:space="preserve"> 情景一：</w:t>
      </w:r>
      <w:r>
        <w:rPr>
          <w:rFonts w:hint="eastAsia" w:ascii="华文仿宋" w:hAnsi="华文仿宋" w:eastAsia="华文仿宋" w:cs="华文仿宋"/>
          <w:bCs/>
          <w:kern w:val="0"/>
          <w:sz w:val="24"/>
          <w:szCs w:val="24"/>
        </w:rPr>
        <w:t>扣除认购费、销售管理费、托管费、固定管理费后，收益率超过业绩比较基准。</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r>
        <w:rPr>
          <w:rFonts w:hint="eastAsia" w:ascii="华文仿宋" w:hAnsi="华文仿宋" w:eastAsia="华文仿宋" w:cs="华文仿宋"/>
          <w:bCs/>
          <w:kern w:val="0"/>
          <w:sz w:val="24"/>
          <w:szCs w:val="24"/>
          <w:lang w:val="en-US" w:eastAsia="zh-CN"/>
        </w:rPr>
        <w:t>.</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浮动管理费为：</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100,000.00×[1.051-1.00×(1+4.85%×368/365)]×80%=168.11(元)</w:t>
      </w:r>
    </w:p>
    <w:p>
      <w:pPr>
        <w:wordWrap w:val="0"/>
        <w:spacing w:before="75" w:after="75" w:line="38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扣除浮动管理费后，客户最终收益为：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 1.051-1.00） - 168.11= 4,931.89（元），产品到期时，客户获得的实际收益相当于达到年化收益率水平为： 4,931.89/100,000.00×365/368 =4.89%。</w:t>
      </w:r>
    </w:p>
    <w:p>
      <w:pPr>
        <w:wordWrap w:val="0"/>
        <w:spacing w:before="75" w:after="75" w:line="380" w:lineRule="exact"/>
        <w:jc w:val="left"/>
      </w:pPr>
      <w:r>
        <w:rPr>
          <w:rFonts w:hint="eastAsia" w:ascii="华文仿宋" w:hAnsi="华文仿宋" w:eastAsia="华文仿宋" w:cs="华文仿宋"/>
          <w:b/>
          <w:kern w:val="0"/>
          <w:sz w:val="24"/>
          <w:szCs w:val="24"/>
        </w:rPr>
        <w:t>情景二：</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情景三：</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w:t>
      </w:r>
      <w:r>
        <w:rPr>
          <w:rFonts w:hint="eastAsia" w:ascii="华文仿宋" w:hAnsi="华文仿宋" w:eastAsia="华文仿宋" w:cs="华文仿宋"/>
          <w:b/>
          <w:bCs/>
          <w:color w:val="000000"/>
          <w:kern w:val="0"/>
          <w:sz w:val="24"/>
          <w:szCs w:val="24"/>
        </w:rPr>
        <w:t>（</w:t>
      </w:r>
      <w:r>
        <w:rPr>
          <w:rFonts w:hint="eastAsia" w:ascii="黑体" w:hAnsi="黑体" w:eastAsia="黑体" w:cs="黑体"/>
          <w:b/>
          <w:bCs/>
          <w:color w:val="000000"/>
          <w:kern w:val="0"/>
          <w:sz w:val="24"/>
          <w:szCs w:val="24"/>
        </w:rPr>
        <w:t>测算收益不等于实际收益，投资须谨慎</w:t>
      </w:r>
      <w:r>
        <w:rPr>
          <w:rFonts w:hint="eastAsia" w:ascii="华文仿宋" w:hAnsi="华文仿宋" w:eastAsia="华文仿宋" w:cs="华文仿宋"/>
          <w:b/>
          <w:bCs/>
          <w:color w:val="000000"/>
          <w:kern w:val="0"/>
          <w:sz w:val="24"/>
          <w:szCs w:val="24"/>
        </w:rPr>
        <w:t>）</w:t>
      </w:r>
    </w:p>
    <w:p>
      <w:pPr>
        <w:spacing w:line="380" w:lineRule="exact"/>
        <w:ind w:firstLine="480" w:firstLineChars="200"/>
        <w:jc w:val="left"/>
        <w:rPr>
          <w:rFonts w:ascii="华文仿宋" w:hAnsi="华文仿宋" w:eastAsia="华文仿宋" w:cs="华文仿宋"/>
          <w:sz w:val="24"/>
          <w:szCs w:val="24"/>
        </w:rPr>
      </w:pPr>
      <w:r>
        <w:rPr>
          <w:rStyle w:val="9"/>
          <w:rFonts w:hint="eastAsia" w:ascii="华文仿宋" w:hAnsi="华文仿宋" w:eastAsia="华文仿宋" w:cs="华文仿宋"/>
          <w:kern w:val="0"/>
          <w:sz w:val="24"/>
          <w:szCs w:val="24"/>
        </w:rPr>
        <w:t xml:space="preserve">六、产品提前终止 </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w:t>
      </w:r>
    </w:p>
    <w:p>
      <w:pPr>
        <w:spacing w:line="380" w:lineRule="exact"/>
        <w:ind w:firstLine="480" w:firstLineChars="200"/>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400" w:lineRule="exact"/>
        <w:ind w:firstLine="480" w:firstLineChars="200"/>
        <w:jc w:val="left"/>
        <w:rPr>
          <w:rFonts w:ascii="华文仿宋" w:hAnsi="华文仿宋" w:eastAsia="华文仿宋" w:cs="华文仿宋"/>
          <w:bCs/>
          <w:color w:val="000000"/>
          <w:kern w:val="0"/>
          <w:sz w:val="24"/>
          <w:szCs w:val="24"/>
          <w:lang w:val="en-US" w:eastAsia="zh-CN" w:bidi="ar"/>
        </w:rPr>
      </w:pPr>
      <w:r>
        <w:rPr>
          <w:rStyle w:val="9"/>
          <w:rFonts w:hint="eastAsia" w:ascii="华文仿宋" w:hAnsi="华文仿宋" w:eastAsia="华文仿宋" w:cs="华文仿宋"/>
          <w:kern w:val="0"/>
          <w:sz w:val="24"/>
          <w:szCs w:val="24"/>
        </w:rPr>
        <w:t>七、信息披露</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ascii="华文仿宋" w:hAnsi="华文仿宋" w:eastAsia="华文仿宋" w:cs="华文仿宋"/>
          <w:bCs/>
          <w:color w:val="000000"/>
          <w:kern w:val="0"/>
          <w:sz w:val="24"/>
          <w:szCs w:val="24"/>
          <w:lang w:val="en-US" w:eastAsia="zh-CN" w:bidi="ar"/>
        </w:rPr>
        <w:t>新疆银行通过新疆银行官方网站（</w:t>
      </w:r>
      <w:r>
        <w:rPr>
          <w:rFonts w:hint="eastAsia" w:ascii="华文仿宋" w:hAnsi="华文仿宋" w:eastAsia="华文仿宋" w:cs="华文仿宋"/>
          <w:bCs/>
          <w:color w:val="000000"/>
          <w:kern w:val="0"/>
          <w:sz w:val="24"/>
          <w:szCs w:val="24"/>
          <w:lang w:val="en-US" w:eastAsia="zh-CN" w:bidi="ar"/>
        </w:rPr>
        <w:t>www.xjbank.com）、官方微信或银行认为适当的其他方式、地点披露产品以下相关信息：</w:t>
      </w:r>
      <w:r>
        <w:rPr>
          <w:rFonts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1.在产品正常成立、产品终止的5个工作日内发布产品成立、产品终止信息，发生对产品重大影响之情形后的2个工作日内发布重大影响事件等信息；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eastAsia="zh-CN" w:bidi="ar"/>
        </w:rPr>
      </w:pPr>
      <w:r>
        <w:rPr>
          <w:rFonts w:hint="eastAsia" w:ascii="华文仿宋" w:hAnsi="华文仿宋" w:eastAsia="华文仿宋" w:cs="华文仿宋"/>
          <w:bCs/>
          <w:color w:val="000000"/>
          <w:kern w:val="0"/>
          <w:sz w:val="24"/>
          <w:szCs w:val="24"/>
          <w:lang w:val="en-US" w:eastAsia="zh-CN" w:bidi="ar"/>
        </w:rPr>
        <w:t>2.在本产品存续期内，每周三公布前一个工作日产品单位净值，遇中国法定节假日则顺延至下一个工作日；</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000000"/>
          <w:kern w:val="0"/>
          <w:sz w:val="24"/>
          <w:szCs w:val="24"/>
          <w:lang w:val="en-US"/>
        </w:rPr>
      </w:pPr>
      <w:r>
        <w:rPr>
          <w:rFonts w:hint="eastAsia" w:ascii="华文仿宋" w:hAnsi="华文仿宋" w:eastAsia="华文仿宋" w:cs="华文仿宋"/>
          <w:bCs/>
          <w:color w:val="000000"/>
          <w:kern w:val="0"/>
          <w:sz w:val="24"/>
          <w:szCs w:val="24"/>
          <w:lang w:val="en-US" w:eastAsia="zh-CN" w:bidi="ar"/>
        </w:rPr>
        <w:t>3.</w:t>
      </w:r>
      <w:r>
        <w:rPr>
          <w:rFonts w:hint="eastAsia" w:ascii="华文仿宋" w:hAnsi="华文仿宋" w:eastAsia="华文仿宋" w:cs="华文仿宋"/>
          <w:bCs/>
          <w:kern w:val="0"/>
          <w:sz w:val="24"/>
          <w:szCs w:val="24"/>
        </w:rPr>
        <w:t>新疆银行将在每个季度结束之日起15日内、上半年结束之日起60日内、每年结束之日起90日内发布理财产品的季度、半年和年度报告等定期报告，</w:t>
      </w:r>
      <w:r>
        <w:rPr>
          <w:rFonts w:hint="eastAsia" w:ascii="华文仿宋" w:hAnsi="华文仿宋" w:eastAsia="华文仿宋" w:cs="华文仿宋"/>
          <w:bCs/>
          <w:kern w:val="0"/>
          <w:sz w:val="24"/>
          <w:szCs w:val="24"/>
          <w:lang w:eastAsia="zh-CN"/>
        </w:rPr>
        <w:t>向投资人披露投资状况、投资表现、风险状况等信息；</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9"/>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9"/>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9"/>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altName w:val="黑体"/>
    <w:panose1 w:val="02010601030101010101"/>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3"/>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9"/>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abstractNum w:abstractNumId="1">
    <w:nsid w:val="5C35F0C3"/>
    <w:multiLevelType w:val="singleLevel"/>
    <w:tmpl w:val="5C35F0C3"/>
    <w:lvl w:ilvl="0" w:tentative="0">
      <w:start w:val="3"/>
      <w:numFmt w:val="chineseCounting"/>
      <w:suff w:val="nothing"/>
      <w:lvlText w:val="%1、"/>
      <w:lvlJc w:val="left"/>
    </w:lvl>
  </w:abstractNum>
  <w:abstractNum w:abstractNumId="2">
    <w:nsid w:val="5C6F874A"/>
    <w:multiLevelType w:val="singleLevel"/>
    <w:tmpl w:val="5C6F874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B16457"/>
    <w:rsid w:val="01B6145B"/>
    <w:rsid w:val="02E02747"/>
    <w:rsid w:val="04AF546C"/>
    <w:rsid w:val="056C5F82"/>
    <w:rsid w:val="0570625E"/>
    <w:rsid w:val="05F9618D"/>
    <w:rsid w:val="06AA54B4"/>
    <w:rsid w:val="07ED13D0"/>
    <w:rsid w:val="084B4A25"/>
    <w:rsid w:val="089C31E9"/>
    <w:rsid w:val="0A2C2EA4"/>
    <w:rsid w:val="0A8D7997"/>
    <w:rsid w:val="0AB526B9"/>
    <w:rsid w:val="0DCC06A1"/>
    <w:rsid w:val="0DDC7649"/>
    <w:rsid w:val="0E8F6CE4"/>
    <w:rsid w:val="0F2922A6"/>
    <w:rsid w:val="0F344F29"/>
    <w:rsid w:val="0F833DB6"/>
    <w:rsid w:val="114335AE"/>
    <w:rsid w:val="12145621"/>
    <w:rsid w:val="12295BA1"/>
    <w:rsid w:val="130A120D"/>
    <w:rsid w:val="13BB3D97"/>
    <w:rsid w:val="150B39CF"/>
    <w:rsid w:val="15136D66"/>
    <w:rsid w:val="15825E96"/>
    <w:rsid w:val="158B366C"/>
    <w:rsid w:val="15D266DB"/>
    <w:rsid w:val="166528F4"/>
    <w:rsid w:val="175853D3"/>
    <w:rsid w:val="18307F10"/>
    <w:rsid w:val="18B62261"/>
    <w:rsid w:val="19617D23"/>
    <w:rsid w:val="19BC22A0"/>
    <w:rsid w:val="19EA4E16"/>
    <w:rsid w:val="1B1F7006"/>
    <w:rsid w:val="1B74754D"/>
    <w:rsid w:val="1B8B56DD"/>
    <w:rsid w:val="1BFE7181"/>
    <w:rsid w:val="1CFB3A9C"/>
    <w:rsid w:val="1D192D6F"/>
    <w:rsid w:val="1E624223"/>
    <w:rsid w:val="1F8A5DF2"/>
    <w:rsid w:val="1FBA04FB"/>
    <w:rsid w:val="207C11C5"/>
    <w:rsid w:val="20C81873"/>
    <w:rsid w:val="219B0D2E"/>
    <w:rsid w:val="22BC6D50"/>
    <w:rsid w:val="23334923"/>
    <w:rsid w:val="233646AA"/>
    <w:rsid w:val="24730B3D"/>
    <w:rsid w:val="26732104"/>
    <w:rsid w:val="267A2E2F"/>
    <w:rsid w:val="26D02C0B"/>
    <w:rsid w:val="271B79CF"/>
    <w:rsid w:val="282E437B"/>
    <w:rsid w:val="289052A9"/>
    <w:rsid w:val="28DD507B"/>
    <w:rsid w:val="292A75D2"/>
    <w:rsid w:val="29680EBF"/>
    <w:rsid w:val="296C7454"/>
    <w:rsid w:val="29AB6CFA"/>
    <w:rsid w:val="29C0055D"/>
    <w:rsid w:val="2B956910"/>
    <w:rsid w:val="2C35520A"/>
    <w:rsid w:val="2D213277"/>
    <w:rsid w:val="2EC47150"/>
    <w:rsid w:val="2EF04DAC"/>
    <w:rsid w:val="2F41330F"/>
    <w:rsid w:val="2FB06FC7"/>
    <w:rsid w:val="2FC70831"/>
    <w:rsid w:val="2FCF071A"/>
    <w:rsid w:val="2FE27369"/>
    <w:rsid w:val="3042169D"/>
    <w:rsid w:val="315437AD"/>
    <w:rsid w:val="33523587"/>
    <w:rsid w:val="33A47907"/>
    <w:rsid w:val="345606AB"/>
    <w:rsid w:val="35BF08D9"/>
    <w:rsid w:val="362772D1"/>
    <w:rsid w:val="36872AFD"/>
    <w:rsid w:val="37014554"/>
    <w:rsid w:val="370234D1"/>
    <w:rsid w:val="373F694B"/>
    <w:rsid w:val="3839798E"/>
    <w:rsid w:val="38596AB4"/>
    <w:rsid w:val="38B560CE"/>
    <w:rsid w:val="38C75ACE"/>
    <w:rsid w:val="3A332045"/>
    <w:rsid w:val="3A666D13"/>
    <w:rsid w:val="3A7D3C24"/>
    <w:rsid w:val="3AA376C1"/>
    <w:rsid w:val="3B6E4155"/>
    <w:rsid w:val="3B975734"/>
    <w:rsid w:val="3BAF4428"/>
    <w:rsid w:val="3BC03386"/>
    <w:rsid w:val="3D3236DC"/>
    <w:rsid w:val="3D4C494C"/>
    <w:rsid w:val="3D561126"/>
    <w:rsid w:val="3D7F485B"/>
    <w:rsid w:val="3DFC5C2C"/>
    <w:rsid w:val="3E8A3700"/>
    <w:rsid w:val="3F0A535E"/>
    <w:rsid w:val="3F2040FB"/>
    <w:rsid w:val="3F3A100C"/>
    <w:rsid w:val="409C44FE"/>
    <w:rsid w:val="43121CF7"/>
    <w:rsid w:val="43502D1F"/>
    <w:rsid w:val="43B6405B"/>
    <w:rsid w:val="446C0B8E"/>
    <w:rsid w:val="45F45948"/>
    <w:rsid w:val="47273A5C"/>
    <w:rsid w:val="47837790"/>
    <w:rsid w:val="47F62C3A"/>
    <w:rsid w:val="47FC1EDC"/>
    <w:rsid w:val="48122FCB"/>
    <w:rsid w:val="48C41F58"/>
    <w:rsid w:val="48DB283B"/>
    <w:rsid w:val="4AA84823"/>
    <w:rsid w:val="4AAC4AE5"/>
    <w:rsid w:val="4AFB5730"/>
    <w:rsid w:val="4B2E687E"/>
    <w:rsid w:val="4D5765AE"/>
    <w:rsid w:val="4EB01BED"/>
    <w:rsid w:val="50063C66"/>
    <w:rsid w:val="516F688F"/>
    <w:rsid w:val="517A1B21"/>
    <w:rsid w:val="51F40E94"/>
    <w:rsid w:val="529E0394"/>
    <w:rsid w:val="52BE53F9"/>
    <w:rsid w:val="52F07D6B"/>
    <w:rsid w:val="555F7C7F"/>
    <w:rsid w:val="557C3BE9"/>
    <w:rsid w:val="55C86401"/>
    <w:rsid w:val="56E03574"/>
    <w:rsid w:val="577D4768"/>
    <w:rsid w:val="57E86B41"/>
    <w:rsid w:val="58D4118F"/>
    <w:rsid w:val="59214BFC"/>
    <w:rsid w:val="5A2E5C18"/>
    <w:rsid w:val="5A3A65B9"/>
    <w:rsid w:val="5ADD057E"/>
    <w:rsid w:val="5BA85F91"/>
    <w:rsid w:val="5EC1751B"/>
    <w:rsid w:val="5F06242E"/>
    <w:rsid w:val="60435A24"/>
    <w:rsid w:val="6099040F"/>
    <w:rsid w:val="60D12938"/>
    <w:rsid w:val="63B2608C"/>
    <w:rsid w:val="650134AF"/>
    <w:rsid w:val="650830F4"/>
    <w:rsid w:val="65535E76"/>
    <w:rsid w:val="655D0910"/>
    <w:rsid w:val="66000A83"/>
    <w:rsid w:val="66376816"/>
    <w:rsid w:val="6640080E"/>
    <w:rsid w:val="66437D7B"/>
    <w:rsid w:val="66915AAB"/>
    <w:rsid w:val="676E56BE"/>
    <w:rsid w:val="68107BBA"/>
    <w:rsid w:val="681A7152"/>
    <w:rsid w:val="69B97D18"/>
    <w:rsid w:val="6B7F4BCE"/>
    <w:rsid w:val="6C171954"/>
    <w:rsid w:val="6CBE5BCF"/>
    <w:rsid w:val="6D60040F"/>
    <w:rsid w:val="6D9846CE"/>
    <w:rsid w:val="6DC310D5"/>
    <w:rsid w:val="6DE82EF3"/>
    <w:rsid w:val="6DF36C1C"/>
    <w:rsid w:val="6DF56CEC"/>
    <w:rsid w:val="6EF3563C"/>
    <w:rsid w:val="6F647846"/>
    <w:rsid w:val="700430F8"/>
    <w:rsid w:val="703C2EBA"/>
    <w:rsid w:val="71847892"/>
    <w:rsid w:val="71961F41"/>
    <w:rsid w:val="71D81222"/>
    <w:rsid w:val="72D23886"/>
    <w:rsid w:val="739A5737"/>
    <w:rsid w:val="75440F7C"/>
    <w:rsid w:val="755906BF"/>
    <w:rsid w:val="75725891"/>
    <w:rsid w:val="75B25B27"/>
    <w:rsid w:val="76EB0BCD"/>
    <w:rsid w:val="77692B6F"/>
    <w:rsid w:val="793244EC"/>
    <w:rsid w:val="79E1288F"/>
    <w:rsid w:val="7A18075E"/>
    <w:rsid w:val="7CAB3AE1"/>
    <w:rsid w:val="7CE36EC9"/>
    <w:rsid w:val="7D0C1DD9"/>
    <w:rsid w:val="7D265270"/>
    <w:rsid w:val="7D7F45E5"/>
    <w:rsid w:val="7E231C42"/>
    <w:rsid w:val="7E5F744D"/>
    <w:rsid w:val="7EB1250B"/>
    <w:rsid w:val="7F393C3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styleId="10">
    <w:name w:val="Hyperlink"/>
    <w:basedOn w:val="8"/>
    <w:unhideWhenUsed/>
    <w:qFormat/>
    <w:uiPriority w:val="99"/>
    <w:rPr>
      <w:color w:val="0000FF"/>
      <w:u w:val="single"/>
    </w:rPr>
  </w:style>
  <w:style w:type="character" w:customStyle="1" w:styleId="11">
    <w:name w:val="页眉 Char"/>
    <w:basedOn w:val="8"/>
    <w:link w:val="4"/>
    <w:semiHidden/>
    <w:qFormat/>
    <w:uiPriority w:val="99"/>
    <w:rPr>
      <w:rFonts w:ascii="Times New Roman" w:hAnsi="Times New Roman"/>
      <w:sz w:val="18"/>
      <w:szCs w:val="18"/>
    </w:rPr>
  </w:style>
  <w:style w:type="character" w:customStyle="1" w:styleId="12">
    <w:name w:val="页脚 Char"/>
    <w:basedOn w:val="8"/>
    <w:link w:val="3"/>
    <w:qFormat/>
    <w:uiPriority w:val="99"/>
    <w:rPr>
      <w:rFonts w:ascii="Times New Roman" w:hAnsi="Times New Roman"/>
      <w:sz w:val="18"/>
      <w:szCs w:val="18"/>
    </w:rPr>
  </w:style>
  <w:style w:type="character" w:customStyle="1" w:styleId="13">
    <w:name w:val="fontstyle01"/>
    <w:basedOn w:val="8"/>
    <w:qFormat/>
    <w:uiPriority w:val="0"/>
    <w:rPr>
      <w:rFonts w:hint="eastAsia" w:ascii="宋体" w:hAnsi="宋体" w:eastAsia="宋体" w:cs="宋体"/>
      <w:color w:val="000000"/>
      <w:sz w:val="22"/>
      <w:szCs w:val="22"/>
    </w:rPr>
  </w:style>
  <w:style w:type="character" w:customStyle="1" w:styleId="14">
    <w:name w:val="fontstyle11"/>
    <w:basedOn w:val="8"/>
    <w:qFormat/>
    <w:uiPriority w:val="0"/>
    <w:rPr>
      <w:rFonts w:ascii="仿宋" w:hAnsi="仿宋" w:eastAsia="仿宋" w:cs="仿宋"/>
      <w:color w:val="000000"/>
      <w:sz w:val="22"/>
      <w:szCs w:val="22"/>
    </w:rPr>
  </w:style>
  <w:style w:type="character" w:customStyle="1" w:styleId="15">
    <w:name w:val="批注框文本 Char"/>
    <w:basedOn w:val="8"/>
    <w:link w:val="2"/>
    <w:semiHidden/>
    <w:qFormat/>
    <w:uiPriority w:val="99"/>
    <w:rPr>
      <w:kern w:val="2"/>
      <w:sz w:val="18"/>
      <w:szCs w:val="18"/>
    </w:rPr>
  </w:style>
  <w:style w:type="paragraph" w:customStyle="1"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5176</Words>
  <Characters>5692</Characters>
  <Lines>44</Lines>
  <Paragraphs>12</Paragraphs>
  <TotalTime>0</TotalTime>
  <ScaleCrop>false</ScaleCrop>
  <LinksUpToDate>false</LinksUpToDate>
  <CharactersWithSpaces>5810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zzsx</cp:lastModifiedBy>
  <cp:lastPrinted>2019-08-14T06:11:00Z</cp:lastPrinted>
  <dcterms:modified xsi:type="dcterms:W3CDTF">2021-01-20T08:18:23Z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