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312" w:lineRule="auto"/>
        <w:jc w:val="center"/>
        <w:textAlignment w:val="auto"/>
        <w:rPr>
          <w:rStyle w:val="9"/>
          <w:rFonts w:hint="eastAsia" w:ascii="黑体" w:hAnsi="黑体" w:eastAsia="黑体" w:cs="黑体"/>
          <w:b/>
          <w:bCs w:val="0"/>
          <w:kern w:val="0"/>
          <w:sz w:val="28"/>
          <w:szCs w:val="28"/>
        </w:rPr>
      </w:pPr>
      <w:bookmarkStart w:id="0" w:name="_GoBack"/>
      <w:bookmarkEnd w:id="0"/>
      <w:r>
        <w:rPr>
          <w:rStyle w:val="9"/>
          <w:rFonts w:hint="eastAsia" w:ascii="黑体" w:hAnsi="黑体" w:eastAsia="黑体" w:cs="黑体"/>
          <w:b/>
          <w:bCs w:val="0"/>
          <w:kern w:val="0"/>
          <w:sz w:val="28"/>
          <w:szCs w:val="28"/>
        </w:rPr>
        <w:t>新疆银行“金胡杨”净值型人民币</w:t>
      </w:r>
      <w:r>
        <w:rPr>
          <w:rStyle w:val="9"/>
          <w:rFonts w:hint="eastAsia" w:ascii="黑体" w:hAnsi="黑体" w:eastAsia="黑体" w:cs="黑体"/>
          <w:b/>
          <w:bCs w:val="0"/>
          <w:kern w:val="0"/>
          <w:sz w:val="28"/>
          <w:szCs w:val="28"/>
          <w:lang w:eastAsia="zh-CN"/>
        </w:rPr>
        <w:t>机构</w:t>
      </w:r>
      <w:r>
        <w:rPr>
          <w:rStyle w:val="9"/>
          <w:rFonts w:hint="eastAsia" w:ascii="黑体" w:hAnsi="黑体" w:eastAsia="黑体" w:cs="黑体"/>
          <w:b/>
          <w:bCs w:val="0"/>
          <w:kern w:val="0"/>
          <w:sz w:val="28"/>
          <w:szCs w:val="28"/>
        </w:rPr>
        <w:t>理财产品协议书</w:t>
      </w:r>
    </w:p>
    <w:p>
      <w:pPr>
        <w:keepNext w:val="0"/>
        <w:keepLines w:val="0"/>
        <w:pageBreakBefore w:val="0"/>
        <w:widowControl/>
        <w:kinsoku/>
        <w:wordWrap/>
        <w:overflowPunct/>
        <w:topLinePunct w:val="0"/>
        <w:autoSpaceDE/>
        <w:autoSpaceDN/>
        <w:bidi w:val="0"/>
        <w:adjustRightInd w:val="0"/>
        <w:snapToGrid w:val="0"/>
        <w:spacing w:beforeLines="50" w:line="312" w:lineRule="auto"/>
        <w:jc w:val="center"/>
        <w:textAlignment w:val="auto"/>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理财产品过往业绩不代表其未来表现，不等于理财产品实际收益</w:t>
      </w:r>
      <w:r>
        <w:rPr>
          <w:rStyle w:val="9"/>
          <w:rFonts w:hint="eastAsia" w:ascii="黑体" w:hAnsi="黑体" w:eastAsia="黑体" w:cs="黑体"/>
          <w:b/>
          <w:bCs w:val="0"/>
          <w:sz w:val="24"/>
          <w:szCs w:val="24"/>
        </w:rPr>
        <w:t xml:space="preserve"> </w:t>
      </w:r>
    </w:p>
    <w:p>
      <w:pPr>
        <w:keepNext w:val="0"/>
        <w:keepLines w:val="0"/>
        <w:pageBreakBefore w:val="0"/>
        <w:widowControl/>
        <w:kinsoku/>
        <w:wordWrap/>
        <w:overflowPunct/>
        <w:topLinePunct w:val="0"/>
        <w:autoSpaceDE/>
        <w:autoSpaceDN/>
        <w:bidi w:val="0"/>
        <w:spacing w:line="312" w:lineRule="auto"/>
        <w:jc w:val="center"/>
        <w:textAlignment w:val="auto"/>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理财非存款、产品有风险、投资须谨慎</w:t>
      </w:r>
    </w:p>
    <w:p>
      <w:pPr>
        <w:widowControl/>
        <w:adjustRightInd w:val="0"/>
        <w:snapToGrid w:val="0"/>
        <w:spacing w:beforeLines="50" w:line="360" w:lineRule="auto"/>
        <w:ind w:firstLine="570"/>
        <w:jc w:val="left"/>
        <w:rPr>
          <w:rStyle w:val="9"/>
          <w:rFonts w:hint="eastAsia"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eastAsia" w:cs="宋体" w:asciiTheme="minorEastAsia" w:hAnsiTheme="minorEastAsia" w:eastAsiaTheme="minorEastAsia"/>
                <w:color w:val="000000"/>
                <w:kern w:val="0"/>
                <w:sz w:val="22"/>
                <w:highlight w:val="none"/>
                <w:lang w:eastAsia="zh-CN"/>
              </w:rPr>
            </w:pP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eastAsia" w:cs="宋体" w:asciiTheme="minorEastAsia" w:hAnsiTheme="minorEastAsia" w:eastAsiaTheme="minorEastAsia"/>
                <w:color w:val="000000"/>
                <w:kern w:val="0"/>
                <w:sz w:val="22"/>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default" w:cs="宋体" w:asciiTheme="minorEastAsia" w:hAnsiTheme="minorEastAsia" w:eastAsiaTheme="minorEastAsia"/>
                <w:color w:val="000000"/>
                <w:kern w:val="0"/>
                <w:sz w:val="22"/>
                <w:highlight w:val="none"/>
                <w:lang w:val="en-US" w:eastAsia="zh-CN"/>
              </w:rPr>
            </w:pP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widowControl/>
              <w:jc w:val="left"/>
              <w:rPr>
                <w:rFonts w:cs="宋体" w:asciiTheme="minorEastAsia" w:hAnsiTheme="minorEastAsia" w:eastAsiaTheme="minorEastAsia"/>
                <w:color w:val="000000"/>
                <w:kern w:val="0"/>
                <w:sz w:val="22"/>
                <w:szCs w:val="22"/>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eastAsia" w:cs="宋体" w:asciiTheme="minorEastAsia" w:hAnsiTheme="minorEastAsia" w:eastAsiaTheme="minorEastAsia"/>
                <w:color w:val="000000"/>
                <w:kern w:val="0"/>
                <w:sz w:val="22"/>
                <w:highlight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eastAsia" w:cs="宋体" w:asciiTheme="minorEastAsia" w:hAnsiTheme="minorEastAsia" w:eastAsiaTheme="minorEastAsia"/>
                <w:color w:val="000000"/>
                <w:kern w:val="0"/>
                <w:sz w:val="22"/>
                <w:highlight w:val="none"/>
                <w:lang w:val="en-US" w:eastAsia="zh-CN"/>
              </w:rPr>
            </w:pP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eastAsia" w:cs="宋体" w:asciiTheme="minorEastAsia" w:hAnsiTheme="minorEastAsia" w:eastAsiaTheme="minorEastAsia"/>
                <w:color w:val="000000"/>
                <w:kern w:val="0"/>
                <w:sz w:val="22"/>
                <w:highlight w:val="none"/>
                <w:lang w:eastAsia="zh-CN"/>
              </w:rPr>
            </w:pP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eastAsia" w:cs="宋体" w:asciiTheme="minorEastAsia" w:hAnsiTheme="minorEastAsia" w:eastAsiaTheme="minorEastAsia"/>
                <w:color w:val="000000"/>
                <w:kern w:val="0"/>
                <w:sz w:val="22"/>
                <w:highlight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default" w:cs="宋体" w:asciiTheme="minorEastAsia" w:hAnsiTheme="minorEastAsia" w:eastAsiaTheme="minorEastAsia"/>
                <w:color w:val="000000"/>
                <w:kern w:val="0"/>
                <w:sz w:val="22"/>
                <w:highlight w:val="none"/>
                <w:lang w:val="en-US" w:eastAsia="zh-CN"/>
              </w:rPr>
            </w:pP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default" w:cs="宋体" w:asciiTheme="minorEastAsia" w:hAnsiTheme="minorEastAsia" w:eastAsiaTheme="minorEastAsia"/>
                <w:color w:val="000000"/>
                <w:kern w:val="0"/>
                <w:sz w:val="22"/>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default" w:cs="宋体" w:asciiTheme="minorEastAsia" w:hAnsiTheme="minorEastAsia" w:eastAsiaTheme="minorEastAsia"/>
                <w:color w:val="000000"/>
                <w:kern w:val="0"/>
                <w:sz w:val="22"/>
                <w:highlight w:val="none"/>
                <w:lang w:val="en-US" w:eastAsia="zh-CN"/>
              </w:rPr>
            </w:pP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default" w:cs="宋体" w:asciiTheme="minorEastAsia" w:hAnsiTheme="minorEastAsia" w:eastAsiaTheme="minorEastAsia"/>
                <w:color w:val="000000"/>
                <w:kern w:val="0"/>
                <w:sz w:val="22"/>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hint="default" w:cs="宋体" w:asciiTheme="minorEastAsia" w:hAnsiTheme="minorEastAsia" w:eastAsiaTheme="minorEastAsia"/>
                <w:color w:val="000000"/>
                <w:kern w:val="0"/>
                <w:sz w:val="22"/>
                <w:highlight w:val="none"/>
                <w:lang w:val="en-US" w:eastAsia="zh-CN"/>
              </w:rPr>
            </w:pP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r>
              <w:rPr>
                <w:rFonts w:hint="eastAsia" w:cs="宋体" w:asciiTheme="minorEastAsia" w:hAnsiTheme="minorEastAsia" w:eastAsiaTheme="minorEastAsia"/>
                <w:color w:val="000000"/>
                <w:kern w:val="0"/>
                <w:sz w:val="22"/>
                <w:highlight w:val="none"/>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hint="default" w:cs="宋体" w:asciiTheme="minorEastAsia" w:hAnsiTheme="minorEastAsia" w:eastAsiaTheme="minorEastAsia"/>
                <w:color w:val="000000"/>
                <w:kern w:val="0"/>
                <w:sz w:val="22"/>
                <w:lang w:val="en-US" w:eastAsia="zh-CN"/>
              </w:rPr>
            </w:pPr>
            <w:r>
              <w:rPr>
                <w:rFonts w:hint="eastAsia" w:cs="宋体" w:asciiTheme="minorEastAsia" w:hAnsiTheme="minorEastAsia" w:eastAsiaTheme="minorEastAsia"/>
                <w:color w:val="000000"/>
                <w:kern w:val="0"/>
                <w:sz w:val="22"/>
              </w:rPr>
              <w:t>　</w:t>
            </w:r>
            <w:r>
              <w:rPr>
                <w:rFonts w:hint="eastAsia" w:cs="宋体" w:asciiTheme="minorEastAsia" w:hAnsiTheme="minorEastAsia" w:eastAsiaTheme="minorEastAsia"/>
                <w:color w:val="000000"/>
                <w:kern w:val="0"/>
                <w:sz w:val="22"/>
                <w:lang w:eastAsia="zh-CN"/>
              </w:rPr>
              <w:t>乌鲁木齐市新华南路</w:t>
            </w:r>
            <w:r>
              <w:rPr>
                <w:rFonts w:hint="eastAsia" w:cs="宋体" w:asciiTheme="minorEastAsia" w:hAnsiTheme="minorEastAsia" w:eastAsiaTheme="minorEastAsia"/>
                <w:color w:val="000000"/>
                <w:kern w:val="0"/>
                <w:sz w:val="22"/>
                <w:lang w:val="en-US" w:eastAsia="zh-CN"/>
              </w:rPr>
              <w:t>338号</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hint="default" w:cs="宋体" w:asciiTheme="minorEastAsia" w:hAnsiTheme="minorEastAsia" w:eastAsiaTheme="minorEastAsia"/>
                <w:color w:val="000000"/>
                <w:kern w:val="0"/>
                <w:sz w:val="22"/>
                <w:lang w:val="en-US" w:eastAsia="zh-CN"/>
              </w:rPr>
            </w:pPr>
            <w:r>
              <w:rPr>
                <w:rFonts w:hint="eastAsia" w:cs="宋体" w:asciiTheme="minorEastAsia" w:hAnsiTheme="minorEastAsia" w:eastAsiaTheme="minorEastAsia"/>
                <w:color w:val="000000"/>
                <w:kern w:val="0"/>
                <w:sz w:val="22"/>
              </w:rPr>
              <w:t>　</w:t>
            </w:r>
            <w:r>
              <w:rPr>
                <w:rFonts w:hint="eastAsia" w:cs="宋体" w:asciiTheme="minorEastAsia" w:hAnsiTheme="minorEastAsia" w:eastAsiaTheme="minorEastAsia"/>
                <w:color w:val="000000"/>
                <w:kern w:val="0"/>
                <w:sz w:val="22"/>
                <w:lang w:val="en-US" w:eastAsia="zh-CN"/>
              </w:rPr>
              <w:t>830000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hint="default" w:cs="宋体" w:asciiTheme="minorEastAsia" w:hAnsiTheme="minorEastAsia" w:eastAsiaTheme="minorEastAsia"/>
                <w:color w:val="000000"/>
                <w:kern w:val="0"/>
                <w:sz w:val="22"/>
                <w:lang w:val="en-US" w:eastAsia="zh-CN"/>
              </w:rPr>
            </w:pPr>
            <w:r>
              <w:rPr>
                <w:rFonts w:hint="eastAsia" w:cs="宋体" w:asciiTheme="minorEastAsia" w:hAnsiTheme="minorEastAsia" w:eastAsiaTheme="minorEastAsia"/>
                <w:color w:val="000000"/>
                <w:kern w:val="0"/>
                <w:sz w:val="22"/>
              </w:rPr>
              <w:t>　</w:t>
            </w:r>
            <w:r>
              <w:rPr>
                <w:rFonts w:hint="eastAsia" w:cs="宋体" w:asciiTheme="minorEastAsia" w:hAnsiTheme="minorEastAsia" w:eastAsiaTheme="minorEastAsia"/>
                <w:color w:val="000000"/>
                <w:kern w:val="0"/>
                <w:sz w:val="22"/>
                <w:lang w:val="en-US" w:eastAsia="zh-CN"/>
              </w:rPr>
              <w:t>0991-2378508</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sym w:font="Wingdings 2" w:char="00A3"/>
            </w: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hint="default" w:cs="宋体" w:asciiTheme="minorEastAsia" w:hAnsiTheme="minorEastAsia" w:eastAsiaTheme="minorEastAsia"/>
                <w:color w:val="000000"/>
                <w:kern w:val="0"/>
                <w:sz w:val="22"/>
                <w:lang w:val="en-US" w:eastAsia="zh-CN"/>
              </w:rPr>
            </w:pP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hint="eastAsia" w:cs="宋体" w:asciiTheme="minorEastAsia" w:hAnsiTheme="minorEastAsia" w:eastAsiaTheme="minorEastAsia"/>
                <w:color w:val="000000"/>
                <w:kern w:val="0"/>
                <w:sz w:val="22"/>
                <w:lang w:eastAsia="zh-CN"/>
              </w:rPr>
            </w:pP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vAlign w:val="top"/>
          </w:tcPr>
          <w:p>
            <w:pPr>
              <w:widowControl/>
              <w:jc w:val="left"/>
              <w:rPr>
                <w:rFonts w:cs="宋体" w:asciiTheme="minorEastAsia" w:hAnsiTheme="minorEastAsia" w:eastAsiaTheme="minorEastAsia"/>
                <w:color w:val="000000"/>
                <w:kern w:val="0"/>
                <w:sz w:val="22"/>
                <w:szCs w:val="22"/>
                <w:lang w:val="en-US" w:eastAsia="zh-CN" w:bidi="ar-SA"/>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vAlign w:val="top"/>
          </w:tcPr>
          <w:p>
            <w:pPr>
              <w:widowControl/>
              <w:jc w:val="left"/>
              <w:rPr>
                <w:rFonts w:cs="宋体" w:asciiTheme="minorEastAsia" w:hAnsiTheme="minorEastAsia" w:eastAsiaTheme="minorEastAsia"/>
                <w:color w:val="000000"/>
                <w:kern w:val="0"/>
                <w:sz w:val="22"/>
                <w:szCs w:val="22"/>
                <w:lang w:val="en-US" w:eastAsia="zh-CN" w:bidi="ar-SA"/>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hint="eastAsia"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rPr>
              <w:t>10.</w:t>
            </w:r>
            <w:r>
              <w:rPr>
                <w:rFonts w:hint="eastAsia" w:asciiTheme="minorEastAsia" w:hAnsiTheme="minorEastAsia" w:eastAsiaTheme="minorEastAsia"/>
                <w:szCs w:val="21"/>
                <w:highlight w:val="none"/>
              </w:rPr>
              <w:t>乙方有权从甲方资金账户扣划本协议项下理财产品相应认/申购资金等理财款项； 除非双方另有书面约定，如甲方指定账户开户行不在乙方，则甲方应于募集期结束当日下午</w:t>
            </w:r>
            <w:r>
              <w:rPr>
                <w:rFonts w:hint="eastAsia" w:asciiTheme="minorEastAsia" w:hAnsiTheme="minorEastAsia" w:eastAsiaTheme="minorEastAsia"/>
                <w:szCs w:val="21"/>
                <w:highlight w:val="none"/>
                <w:lang w:val="en-US" w:eastAsia="zh-CN"/>
              </w:rPr>
              <w:t>12</w:t>
            </w:r>
            <w:r>
              <w:rPr>
                <w:rFonts w:hint="eastAsia" w:asciiTheme="minorEastAsia" w:hAnsiTheme="minorEastAsia" w:eastAsiaTheme="minorEastAsia"/>
                <w:szCs w:val="21"/>
                <w:highlight w:val="none"/>
              </w:rPr>
              <w:t>：00前向乙方指定账户划入足额资金</w:t>
            </w:r>
            <w:r>
              <w:rPr>
                <w:rFonts w:hint="eastAsia" w:asciiTheme="minorEastAsia" w:hAnsiTheme="minorEastAsia" w:eastAsiaTheme="minorEastAsia"/>
                <w:szCs w:val="21"/>
                <w:highlight w:val="none"/>
                <w:lang w:eastAsia="zh-CN"/>
              </w:rPr>
              <w:t>。</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本协议下，甲方</w:t>
            </w:r>
            <w:r>
              <w:rPr>
                <w:rFonts w:hint="eastAsia" w:asciiTheme="minorEastAsia" w:hAnsiTheme="minorEastAsia" w:eastAsiaTheme="minorEastAsia"/>
                <w:szCs w:val="21"/>
                <w:highlight w:val="none"/>
                <w:lang w:eastAsia="zh-CN"/>
              </w:rPr>
              <w:t>与乙方约定账户信息如下：</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甲方指定账户户名：</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rPr>
              <w:t xml:space="preserve">  </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账号：</w:t>
            </w:r>
            <w:r>
              <w:rPr>
                <w:rFonts w:hint="eastAsia" w:asciiTheme="minorEastAsia" w:hAnsiTheme="minorEastAsia" w:eastAsiaTheme="minorEastAsia"/>
                <w:szCs w:val="21"/>
                <w:highlight w:val="none"/>
                <w:u w:val="single"/>
                <w:lang w:val="en-US" w:eastAsia="zh-CN"/>
              </w:rPr>
              <w:t xml:space="preserve">                                    </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大额支付行号：</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开户行：</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p>
          <w:p>
            <w:pPr>
              <w:widowControl/>
              <w:adjustRightInd w:val="0"/>
              <w:snapToGrid w:val="0"/>
              <w:spacing w:line="360" w:lineRule="auto"/>
              <w:ind w:left="630" w:leftChars="200" w:hanging="210" w:hangingChars="100"/>
              <w:jc w:val="left"/>
              <w:rPr>
                <w:rFonts w:hint="eastAsia" w:asciiTheme="minorEastAsia" w:hAnsiTheme="minorEastAsia" w:eastAsiaTheme="minorEastAsia"/>
                <w:szCs w:val="21"/>
                <w:highlight w:val="none"/>
                <w:u w:val="single"/>
              </w:rPr>
            </w:pPr>
            <w:r>
              <w:rPr>
                <w:rFonts w:hint="eastAsia" w:asciiTheme="minorEastAsia" w:hAnsiTheme="minorEastAsia" w:eastAsiaTheme="minorEastAsia"/>
                <w:szCs w:val="21"/>
                <w:highlight w:val="none"/>
                <w:u w:val="none"/>
              </w:rPr>
              <w:t>乙方清算账户名称：</w:t>
            </w:r>
            <w:r>
              <w:rPr>
                <w:rFonts w:hint="eastAsia" w:asciiTheme="minorEastAsia" w:hAnsiTheme="minorEastAsia" w:eastAsiaTheme="minorEastAsia"/>
                <w:szCs w:val="21"/>
                <w:highlight w:val="none"/>
                <w:u w:val="single"/>
              </w:rPr>
              <w:t xml:space="preserve">封闭式净值型理财产品募集户（私募） </w:t>
            </w:r>
            <w:r>
              <w:rPr>
                <w:rFonts w:hint="eastAsia" w:asciiTheme="minorEastAsia" w:hAnsiTheme="minorEastAsia" w:eastAsiaTheme="minorEastAsia"/>
                <w:szCs w:val="21"/>
                <w:highlight w:val="none"/>
                <w:u w:val="none"/>
              </w:rPr>
              <w:t xml:space="preserve">  账号：</w:t>
            </w:r>
            <w:r>
              <w:rPr>
                <w:rFonts w:hint="eastAsia" w:asciiTheme="minorEastAsia" w:hAnsiTheme="minorEastAsia" w:eastAsiaTheme="minorEastAsia"/>
                <w:szCs w:val="21"/>
                <w:highlight w:val="none"/>
                <w:u w:val="single"/>
              </w:rPr>
              <w:t>80011715625013101004050001</w:t>
            </w:r>
          </w:p>
          <w:p>
            <w:pPr>
              <w:widowControl/>
              <w:adjustRightInd w:val="0"/>
              <w:snapToGrid w:val="0"/>
              <w:spacing w:line="360" w:lineRule="auto"/>
              <w:ind w:left="630" w:leftChars="200" w:hanging="210" w:hangingChars="10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u w:val="none"/>
              </w:rPr>
              <w:t xml:space="preserve">大额支付行号：313881088887            开户行：  </w:t>
            </w:r>
            <w:r>
              <w:rPr>
                <w:rFonts w:hint="eastAsia" w:asciiTheme="minorEastAsia" w:hAnsiTheme="minorEastAsia" w:eastAsiaTheme="minorEastAsia"/>
                <w:szCs w:val="21"/>
                <w:highlight w:val="none"/>
                <w:u w:val="none"/>
                <w:lang w:val="en-US" w:eastAsia="zh-CN"/>
              </w:rPr>
              <w:t xml:space="preserve"> </w:t>
            </w:r>
            <w:r>
              <w:rPr>
                <w:rFonts w:hint="eastAsia" w:asciiTheme="minorEastAsia" w:hAnsiTheme="minorEastAsia" w:eastAsiaTheme="minorEastAsia"/>
                <w:szCs w:val="21"/>
                <w:highlight w:val="none"/>
                <w:u w:val="none"/>
              </w:rPr>
              <w:t xml:space="preserve">新疆银行股份有限公司       </w:t>
            </w:r>
            <w:r>
              <w:rPr>
                <w:rFonts w:hint="eastAsia" w:asciiTheme="minorEastAsia" w:hAnsiTheme="minorEastAsia" w:eastAsiaTheme="minorEastAsia"/>
                <w:szCs w:val="21"/>
                <w:highlight w:val="none"/>
              </w:rPr>
              <w:t xml:space="preserve">  </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 xml:space="preserve">  </w:t>
            </w:r>
          </w:p>
          <w:p>
            <w:pPr>
              <w:widowControl/>
              <w:adjustRightInd w:val="0"/>
              <w:snapToGrid w:val="0"/>
              <w:spacing w:line="360" w:lineRule="auto"/>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3.本协议及理财产品合同均适用中华人民共和国法律。本协议项下的任何争议，双方应通过友好协商解决；若协商不成，依法向</w:t>
            </w:r>
            <w:r>
              <w:rPr>
                <w:rFonts w:hint="eastAsia" w:asciiTheme="minorEastAsia" w:hAnsiTheme="minorEastAsia" w:eastAsiaTheme="minorEastAsia"/>
                <w:szCs w:val="21"/>
                <w:highlight w:val="none"/>
                <w:lang w:eastAsia="zh-CN"/>
              </w:rPr>
              <w:t>原告方</w:t>
            </w:r>
            <w:r>
              <w:rPr>
                <w:rFonts w:hint="eastAsia" w:asciiTheme="minorEastAsia" w:hAnsiTheme="minorEastAsia" w:eastAsiaTheme="minorEastAsia"/>
                <w:szCs w:val="21"/>
                <w:highlight w:val="none"/>
              </w:rPr>
              <w:t>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6"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exact"/>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exact"/>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甲方预留印鉴：</w:t>
            </w:r>
          </w:p>
          <w:p>
            <w:pPr>
              <w:widowControl/>
              <w:tabs>
                <w:tab w:val="left" w:pos="0"/>
              </w:tabs>
              <w:adjustRightInd w:val="0"/>
              <w:snapToGrid w:val="0"/>
              <w:spacing w:line="360" w:lineRule="auto"/>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甲方公章：                                         乙方盖章：</w:t>
            </w:r>
            <w:r>
              <w:rPr>
                <w:rFonts w:asciiTheme="minorEastAsia" w:hAnsiTheme="minorEastAsia" w:eastAsiaTheme="minorEastAsia"/>
                <w:b/>
                <w:szCs w:val="21"/>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法定代表人/授权代理签章：                          经办人员：</w:t>
            </w:r>
          </w:p>
          <w:p>
            <w:pPr>
              <w:widowControl/>
              <w:tabs>
                <w:tab w:val="left" w:pos="0"/>
              </w:tabs>
              <w:adjustRightInd w:val="0"/>
              <w:snapToGrid w:val="0"/>
              <w:spacing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日期：                                             日期： </w:t>
            </w: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1790104"/>
    <w:rsid w:val="065760B4"/>
    <w:rsid w:val="0AC348AD"/>
    <w:rsid w:val="0EDB374A"/>
    <w:rsid w:val="15C65163"/>
    <w:rsid w:val="1F984A0D"/>
    <w:rsid w:val="207F7B06"/>
    <w:rsid w:val="24A776A1"/>
    <w:rsid w:val="2548190E"/>
    <w:rsid w:val="28116AA4"/>
    <w:rsid w:val="2F734B83"/>
    <w:rsid w:val="30A90FF0"/>
    <w:rsid w:val="31295634"/>
    <w:rsid w:val="35913FA5"/>
    <w:rsid w:val="36910FE7"/>
    <w:rsid w:val="37CE15D2"/>
    <w:rsid w:val="3AB0134F"/>
    <w:rsid w:val="3B6F242B"/>
    <w:rsid w:val="3CDF2599"/>
    <w:rsid w:val="419C0CC2"/>
    <w:rsid w:val="42714232"/>
    <w:rsid w:val="486D59F1"/>
    <w:rsid w:val="49166DE6"/>
    <w:rsid w:val="564C2A1A"/>
    <w:rsid w:val="57605062"/>
    <w:rsid w:val="5BCB4854"/>
    <w:rsid w:val="5DA051FC"/>
    <w:rsid w:val="638B23A0"/>
    <w:rsid w:val="64BA5AD4"/>
    <w:rsid w:val="65EB5ECE"/>
    <w:rsid w:val="67F0160D"/>
    <w:rsid w:val="68A124D2"/>
    <w:rsid w:val="6B020E8F"/>
    <w:rsid w:val="6C010A65"/>
    <w:rsid w:val="6C494FFC"/>
    <w:rsid w:val="6E0D6D36"/>
    <w:rsid w:val="6FA678A5"/>
    <w:rsid w:val="7B6308A4"/>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2020-12-29T02:32:00Z</cp:lastPrinted>
  <dcterms:modified xsi:type="dcterms:W3CDTF">2021-01-29T08:53:58Z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