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9"/>
          <w:rFonts w:hint="eastAsia" w:ascii="黑体" w:hAnsi="黑体" w:eastAsia="黑体" w:cs="黑体"/>
          <w:b/>
          <w:bCs w:val="0"/>
          <w:kern w:val="0"/>
          <w:sz w:val="28"/>
          <w:szCs w:val="28"/>
        </w:rPr>
      </w:pPr>
      <w:r>
        <w:rPr>
          <w:rStyle w:val="9"/>
          <w:rFonts w:hint="eastAsia" w:ascii="黑体" w:hAnsi="黑体" w:eastAsia="黑体" w:cs="黑体"/>
          <w:b/>
          <w:bCs w:val="0"/>
          <w:kern w:val="0"/>
          <w:sz w:val="28"/>
          <w:szCs w:val="28"/>
        </w:rPr>
        <w:t>新疆银行“金胡杨”封闭净值型人民币</w:t>
      </w:r>
      <w:r>
        <w:rPr>
          <w:rStyle w:val="9"/>
          <w:rFonts w:hint="eastAsia" w:ascii="黑体" w:hAnsi="黑体" w:eastAsia="黑体" w:cs="黑体"/>
          <w:b/>
          <w:bCs w:val="0"/>
          <w:kern w:val="0"/>
          <w:sz w:val="28"/>
          <w:szCs w:val="28"/>
          <w:lang w:eastAsia="zh-CN"/>
        </w:rPr>
        <w:t>机构</w:t>
      </w:r>
      <w:r>
        <w:rPr>
          <w:rStyle w:val="9"/>
          <w:rFonts w:hint="eastAsia" w:ascii="黑体" w:hAnsi="黑体" w:eastAsia="黑体" w:cs="黑体"/>
          <w:b/>
          <w:bCs w:val="0"/>
          <w:kern w:val="0"/>
          <w:sz w:val="28"/>
          <w:szCs w:val="28"/>
        </w:rPr>
        <w:t>理财产品说明书</w:t>
      </w:r>
    </w:p>
    <w:p>
      <w:pPr>
        <w:spacing w:line="400" w:lineRule="exact"/>
        <w:jc w:val="center"/>
        <w:rPr>
          <w:rStyle w:val="9"/>
          <w:rFonts w:hint="eastAsia" w:ascii="黑体" w:hAnsi="黑体" w:eastAsia="黑体" w:cs="黑体"/>
          <w:b/>
          <w:bCs w:val="0"/>
          <w:kern w:val="0"/>
          <w:sz w:val="24"/>
          <w:szCs w:val="24"/>
        </w:rPr>
      </w:pPr>
      <w:r>
        <w:rPr>
          <w:rStyle w:val="9"/>
          <w:rFonts w:hint="eastAsia" w:ascii="黑体" w:hAnsi="黑体" w:eastAsia="黑体" w:cs="黑体"/>
          <w:b/>
          <w:bCs w:val="0"/>
          <w:kern w:val="0"/>
          <w:sz w:val="24"/>
          <w:szCs w:val="24"/>
        </w:rPr>
        <w:t>理财产品过往业绩不代表其未来表现，不等于理财产品实际收益</w:t>
      </w:r>
      <w:r>
        <w:rPr>
          <w:rStyle w:val="9"/>
          <w:rFonts w:hint="eastAsia" w:ascii="黑体" w:hAnsi="黑体" w:eastAsia="黑体" w:cs="黑体"/>
          <w:b/>
          <w:bCs w:val="0"/>
          <w:sz w:val="24"/>
          <w:szCs w:val="24"/>
        </w:rPr>
        <w:t xml:space="preserve"> </w:t>
      </w:r>
    </w:p>
    <w:p>
      <w:pPr>
        <w:spacing w:line="400" w:lineRule="exact"/>
        <w:jc w:val="center"/>
        <w:rPr>
          <w:rStyle w:val="9"/>
          <w:rFonts w:hint="eastAsia" w:ascii="黑体" w:hAnsi="黑体" w:eastAsia="黑体" w:cs="黑体"/>
          <w:b/>
          <w:bCs w:val="0"/>
          <w:kern w:val="0"/>
          <w:sz w:val="24"/>
          <w:szCs w:val="24"/>
        </w:rPr>
      </w:pPr>
      <w:r>
        <w:rPr>
          <w:rStyle w:val="9"/>
          <w:rFonts w:hint="eastAsia" w:ascii="黑体" w:hAnsi="黑体" w:eastAsia="黑体" w:cs="黑体"/>
          <w:b/>
          <w:bCs w:val="0"/>
          <w:kern w:val="0"/>
          <w:sz w:val="24"/>
          <w:szCs w:val="24"/>
        </w:rPr>
        <w:t>理财非存款、产品有风险、投资须谨慎</w:t>
      </w:r>
    </w:p>
    <w:p>
      <w:pPr>
        <w:spacing w:line="400" w:lineRule="exact"/>
        <w:rPr>
          <w:rStyle w:val="9"/>
          <w:rFonts w:hint="eastAsia" w:ascii="黑体" w:hAnsi="黑体" w:eastAsia="黑体" w:cs="黑体"/>
          <w:kern w:val="0"/>
          <w:sz w:val="24"/>
          <w:szCs w:val="24"/>
        </w:rPr>
      </w:pPr>
      <w:r>
        <w:rPr>
          <w:rStyle w:val="9"/>
          <w:rFonts w:hint="eastAsia" w:ascii="黑体" w:hAnsi="黑体" w:eastAsia="黑体" w:cs="黑体"/>
          <w:kern w:val="0"/>
          <w:sz w:val="24"/>
          <w:szCs w:val="24"/>
        </w:rPr>
        <w:t>重要须知：</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color w:val="000000" w:themeColor="text1"/>
          <w:sz w:val="24"/>
          <w:szCs w:val="24"/>
          <w14:textFill>
            <w14:solidFill>
              <w14:schemeClr w14:val="tx1"/>
            </w14:solidFill>
          </w14:textFill>
        </w:rPr>
        <w:t xml:space="preserve">  </w:t>
      </w:r>
      <w:r>
        <w:rPr>
          <w:rFonts w:hint="eastAsia" w:ascii="黑体" w:hAnsi="黑体" w:eastAsia="黑体" w:cs="黑体"/>
          <w:b/>
          <w:bCs/>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 xml:space="preserve">    二、本产品为固定收益类</w:t>
      </w:r>
      <w:r>
        <w:rPr>
          <w:rFonts w:hint="eastAsia" w:ascii="黑体" w:hAnsi="黑体" w:eastAsia="黑体" w:cs="黑体"/>
          <w:b/>
          <w:bCs/>
          <w:color w:val="000000" w:themeColor="text1"/>
          <w:sz w:val="24"/>
          <w:szCs w:val="24"/>
          <w:lang w:eastAsia="zh-CN"/>
          <w14:textFill>
            <w14:solidFill>
              <w14:schemeClr w14:val="tx1"/>
            </w14:solidFill>
          </w14:textFill>
        </w:rPr>
        <w:t>私募</w:t>
      </w:r>
      <w:r>
        <w:rPr>
          <w:rFonts w:hint="eastAsia" w:ascii="黑体" w:hAnsi="黑体" w:eastAsia="黑体" w:cs="黑体"/>
          <w:b/>
          <w:bCs/>
          <w:color w:val="000000" w:themeColor="text1"/>
          <w:sz w:val="24"/>
          <w:szCs w:val="24"/>
          <w14:textFill>
            <w14:solidFill>
              <w14:schemeClr w14:val="tx1"/>
            </w14:solidFill>
          </w14:textFill>
        </w:rPr>
        <w:t>非保本浮动收益净值型理财产品，无预期收益率，不保证本金和收益，可能因市场变动而损失部分或全部的本金及收益，请您充分认识投资风险，谨慎投资。</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黑体" w:hAnsi="黑体" w:eastAsia="黑体" w:cs="黑体"/>
          <w:b/>
          <w:bCs/>
          <w:color w:val="000000" w:themeColor="text1"/>
          <w:sz w:val="24"/>
          <w:szCs w:val="24"/>
          <w:lang w:eastAsia="zh-CN"/>
          <w14:textFill>
            <w14:solidFill>
              <w14:schemeClr w14:val="tx1"/>
            </w14:solidFill>
          </w14:textFill>
        </w:rPr>
        <w:t>投资</w:t>
      </w:r>
      <w:r>
        <w:rPr>
          <w:rFonts w:hint="eastAsia" w:ascii="黑体" w:hAnsi="黑体" w:eastAsia="黑体" w:cs="黑体"/>
          <w:b/>
          <w:bCs/>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hint="eastAsia" w:ascii="黑体" w:hAnsi="黑体" w:eastAsia="黑体" w:cs="黑体"/>
          <w:b/>
          <w:bCs/>
          <w:color w:val="000000" w:themeColor="text1"/>
          <w:sz w:val="24"/>
          <w:szCs w:val="24"/>
          <w:highlight w:val="none"/>
          <w:lang w:val="en-US" w:eastAsia="zh-CN"/>
          <w14:textFill>
            <w14:solidFill>
              <w14:schemeClr w14:val="tx1"/>
            </w14:solidFill>
          </w14:textFill>
        </w:rPr>
      </w:pPr>
      <w:r>
        <w:rPr>
          <w:rFonts w:hint="eastAsia" w:ascii="黑体" w:hAnsi="黑体" w:eastAsia="黑体" w:cs="黑体"/>
          <w:b/>
          <w:bCs/>
          <w:color w:val="000000" w:themeColor="text1"/>
          <w:sz w:val="24"/>
          <w:szCs w:val="24"/>
          <w:highlight w:val="none"/>
          <w:lang w:eastAsia="zh-CN"/>
          <w14:textFill>
            <w14:solidFill>
              <w14:schemeClr w14:val="tx1"/>
            </w14:solidFill>
          </w14:textFill>
        </w:rPr>
        <w:t>五、投资有风险，购买须谨慎。本理财产品可能涉及的相关风险具体内容见新疆银行提供的《风险揭示书》投资者应仔细阅读并签署《风险揭示书》。</w:t>
      </w:r>
    </w:p>
    <w:p>
      <w:pPr>
        <w:spacing w:line="400" w:lineRule="exact"/>
        <w:ind w:firstLine="481"/>
        <w:jc w:val="left"/>
        <w:rPr>
          <w:rFonts w:hint="eastAsia" w:ascii="黑体" w:hAnsi="黑体" w:eastAsia="黑体" w:cs="黑体"/>
          <w:b/>
          <w:bCs/>
          <w:color w:val="000000" w:themeColor="text1"/>
          <w:sz w:val="24"/>
          <w:szCs w:val="24"/>
          <w:highlight w:val="none"/>
          <w14:textFill>
            <w14:solidFill>
              <w14:schemeClr w14:val="tx1"/>
            </w14:solidFill>
          </w14:textFill>
        </w:rPr>
      </w:pPr>
      <w:r>
        <w:rPr>
          <w:rFonts w:hint="eastAsia" w:ascii="黑体" w:hAnsi="黑体" w:eastAsia="黑体" w:cs="黑体"/>
          <w:b/>
          <w:bCs/>
          <w:color w:val="000000" w:themeColor="text1"/>
          <w:sz w:val="24"/>
          <w:szCs w:val="24"/>
          <w:highlight w:val="none"/>
          <w:lang w:eastAsia="zh-CN"/>
          <w14:textFill>
            <w14:solidFill>
              <w14:schemeClr w14:val="tx1"/>
            </w14:solidFill>
          </w14:textFill>
        </w:rPr>
        <w:t>六</w:t>
      </w:r>
      <w:r>
        <w:rPr>
          <w:rFonts w:hint="eastAsia" w:ascii="黑体" w:hAnsi="黑体" w:eastAsia="黑体" w:cs="黑体"/>
          <w:b/>
          <w:bCs/>
          <w:color w:val="000000" w:themeColor="text1"/>
          <w:sz w:val="24"/>
          <w:szCs w:val="24"/>
          <w:highlight w:val="none"/>
          <w14:textFill>
            <w14:solidFill>
              <w14:schemeClr w14:val="tx1"/>
            </w14:solidFill>
          </w14:textFill>
        </w:rPr>
        <w:t>、在购买理财产品后，投资者应随时关注该理财产品的信息披露情况，及时获取相关信息。可依据本产品登记编码在“中国理财网(www.china</w:t>
      </w:r>
      <w:r>
        <w:rPr>
          <w:rFonts w:hint="eastAsia" w:ascii="黑体" w:hAnsi="黑体" w:eastAsia="黑体" w:cs="黑体"/>
          <w:b/>
          <w:bCs/>
          <w:color w:val="000000" w:themeColor="text1"/>
          <w:sz w:val="24"/>
          <w:szCs w:val="24"/>
          <w:highlight w:val="none"/>
          <w:lang w:val="en-US" w:eastAsia="zh-CN"/>
          <w14:textFill>
            <w14:solidFill>
              <w14:schemeClr w14:val="tx1"/>
            </w14:solidFill>
          </w14:textFill>
        </w:rPr>
        <w:t>w</w:t>
      </w:r>
      <w:r>
        <w:rPr>
          <w:rFonts w:hint="eastAsia" w:ascii="黑体" w:hAnsi="黑体" w:eastAsia="黑体" w:cs="黑体"/>
          <w:b/>
          <w:bCs/>
          <w:color w:val="000000" w:themeColor="text1"/>
          <w:sz w:val="24"/>
          <w:szCs w:val="24"/>
          <w:highlight w:val="none"/>
          <w14:textFill>
            <w14:solidFill>
              <w14:schemeClr w14:val="tx1"/>
            </w14:solidFill>
          </w14:textFill>
        </w:rPr>
        <w:t>ealth.com.cn)”查询产品信息。</w:t>
      </w:r>
    </w:p>
    <w:p>
      <w:pPr>
        <w:spacing w:line="400" w:lineRule="exact"/>
        <w:rPr>
          <w:rStyle w:val="9"/>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spacing w:line="400" w:lineRule="exact"/>
        <w:rPr>
          <w:rStyle w:val="9"/>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hint="eastAsia" w:ascii="黑体" w:hAnsi="黑体" w:eastAsia="黑体" w:cs="黑体"/>
                                <w:b/>
                                <w:bCs/>
                                <w:color w:val="000000"/>
                                <w:sz w:val="24"/>
                                <w:szCs w:val="24"/>
                              </w:rPr>
                            </w:pPr>
                            <w:r>
                              <w:rPr>
                                <w:rStyle w:val="9"/>
                                <w:rFonts w:hint="eastAsia" w:ascii="黑体" w:hAnsi="黑体" w:eastAsia="黑体" w:cs="黑体"/>
                                <w:b/>
                                <w:bCs/>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w:t>
                            </w:r>
                            <w:r>
                              <w:rPr>
                                <w:rStyle w:val="9"/>
                                <w:rFonts w:hint="eastAsia" w:ascii="黑体" w:hAnsi="黑体" w:eastAsia="黑体" w:cs="黑体"/>
                                <w:b/>
                                <w:bCs/>
                                <w:kern w:val="0"/>
                                <w:sz w:val="24"/>
                                <w:szCs w:val="24"/>
                                <w:lang w:eastAsia="zh-CN"/>
                              </w:rPr>
                              <w:t>本机构</w:t>
                            </w:r>
                            <w:r>
                              <w:rPr>
                                <w:rStyle w:val="9"/>
                                <w:rFonts w:hint="eastAsia" w:ascii="黑体" w:hAnsi="黑体" w:eastAsia="黑体" w:cs="黑体"/>
                                <w:b/>
                                <w:bCs/>
                                <w:kern w:val="0"/>
                                <w:sz w:val="24"/>
                                <w:szCs w:val="24"/>
                              </w:rPr>
                              <w:t>真实意愿的决定。</w:t>
                            </w:r>
                          </w:p>
                          <w:p>
                            <w:pPr>
                              <w:ind w:firstLine="375"/>
                              <w:jc w:val="center"/>
                              <w:rPr>
                                <w:rStyle w:val="9"/>
                                <w:rFonts w:ascii="宋体" w:hAnsi="宋体" w:cs="宋体"/>
                                <w:b/>
                                <w:bCs/>
                                <w:kern w:val="0"/>
                                <w:szCs w:val="21"/>
                              </w:rPr>
                            </w:pPr>
                            <w:r>
                              <w:rPr>
                                <w:rFonts w:ascii="宋体" w:hAnsi="宋体" w:cs="宋体"/>
                                <w:b/>
                                <w:bCs/>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风险程度</w:t>
                            </w:r>
                          </w:p>
                          <w:p>
                            <w:pPr>
                              <w:spacing w:line="400" w:lineRule="exact"/>
                              <w:jc w:val="left"/>
                              <w:rPr>
                                <w:rFonts w:hint="eastAsia" w:ascii="黑体" w:hAnsi="黑体" w:eastAsia="黑体" w:cs="黑体"/>
                                <w:b/>
                                <w:bCs/>
                                <w:kern w:val="0"/>
                                <w:sz w:val="24"/>
                                <w:szCs w:val="24"/>
                              </w:rPr>
                            </w:pPr>
                            <w:r>
                              <w:rPr>
                                <w:rStyle w:val="9"/>
                                <w:rFonts w:hint="eastAsia" w:ascii="黑体" w:hAnsi="黑体" w:eastAsia="黑体" w:cs="黑体"/>
                                <w:b/>
                                <w:bCs/>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hint="eastAsia" w:ascii="黑体" w:hAnsi="黑体" w:eastAsia="黑体" w:cs="黑体"/>
                          <w:b/>
                          <w:bCs/>
                          <w:color w:val="000000"/>
                          <w:sz w:val="24"/>
                          <w:szCs w:val="24"/>
                        </w:rPr>
                      </w:pPr>
                      <w:r>
                        <w:rPr>
                          <w:rStyle w:val="9"/>
                          <w:rFonts w:hint="eastAsia" w:ascii="黑体" w:hAnsi="黑体" w:eastAsia="黑体" w:cs="黑体"/>
                          <w:b/>
                          <w:bCs/>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w:t>
                      </w:r>
                      <w:r>
                        <w:rPr>
                          <w:rStyle w:val="9"/>
                          <w:rFonts w:hint="eastAsia" w:ascii="黑体" w:hAnsi="黑体" w:eastAsia="黑体" w:cs="黑体"/>
                          <w:b/>
                          <w:bCs/>
                          <w:kern w:val="0"/>
                          <w:sz w:val="24"/>
                          <w:szCs w:val="24"/>
                          <w:lang w:eastAsia="zh-CN"/>
                        </w:rPr>
                        <w:t>本机构</w:t>
                      </w:r>
                      <w:r>
                        <w:rPr>
                          <w:rStyle w:val="9"/>
                          <w:rFonts w:hint="eastAsia" w:ascii="黑体" w:hAnsi="黑体" w:eastAsia="黑体" w:cs="黑体"/>
                          <w:b/>
                          <w:bCs/>
                          <w:kern w:val="0"/>
                          <w:sz w:val="24"/>
                          <w:szCs w:val="24"/>
                        </w:rPr>
                        <w:t>真实意愿的决定。</w:t>
                      </w:r>
                    </w:p>
                    <w:p>
                      <w:pPr>
                        <w:ind w:firstLine="375"/>
                        <w:jc w:val="center"/>
                        <w:rPr>
                          <w:rStyle w:val="9"/>
                          <w:rFonts w:ascii="宋体" w:hAnsi="宋体" w:cs="宋体"/>
                          <w:b/>
                          <w:bCs/>
                          <w:kern w:val="0"/>
                          <w:szCs w:val="21"/>
                        </w:rPr>
                      </w:pPr>
                      <w:r>
                        <w:rPr>
                          <w:rFonts w:ascii="宋体" w:hAnsi="宋体" w:cs="宋体"/>
                          <w:b/>
                          <w:bCs/>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风险程度</w:t>
                      </w:r>
                    </w:p>
                    <w:p>
                      <w:pPr>
                        <w:spacing w:line="400" w:lineRule="exact"/>
                        <w:jc w:val="left"/>
                        <w:rPr>
                          <w:rFonts w:hint="eastAsia" w:ascii="黑体" w:hAnsi="黑体" w:eastAsia="黑体" w:cs="黑体"/>
                          <w:b/>
                          <w:bCs/>
                          <w:kern w:val="0"/>
                          <w:sz w:val="24"/>
                          <w:szCs w:val="24"/>
                        </w:rPr>
                      </w:pPr>
                      <w:r>
                        <w:rPr>
                          <w:rStyle w:val="9"/>
                          <w:rFonts w:hint="eastAsia" w:ascii="黑体" w:hAnsi="黑体" w:eastAsia="黑体" w:cs="黑体"/>
                          <w:b/>
                          <w:bCs/>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9"/>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 w:val="0"/>
                <w:bCs/>
                <w:kern w:val="0"/>
                <w:sz w:val="24"/>
                <w:szCs w:val="24"/>
              </w:rPr>
            </w:pPr>
            <w:r>
              <w:rPr>
                <w:rFonts w:hint="eastAsia" w:ascii="华文仿宋" w:hAnsi="华文仿宋" w:eastAsia="华文仿宋" w:cs="华文仿宋"/>
                <w:b w:val="0"/>
                <w:bCs/>
                <w:kern w:val="0"/>
                <w:sz w:val="24"/>
                <w:szCs w:val="24"/>
              </w:rPr>
              <w:t>产品名称</w:t>
            </w:r>
          </w:p>
        </w:tc>
        <w:tc>
          <w:tcPr>
            <w:tcW w:w="8048" w:type="dxa"/>
            <w:tcBorders>
              <w:top w:val="single" w:color="000000" w:sz="4" w:space="0"/>
            </w:tcBorders>
            <w:vAlign w:val="center"/>
          </w:tcPr>
          <w:p>
            <w:pPr>
              <w:spacing w:line="400" w:lineRule="exact"/>
              <w:jc w:val="left"/>
              <w:rPr>
                <w:rFonts w:hint="default" w:ascii="华文仿宋" w:hAnsi="华文仿宋" w:eastAsia="华文仿宋" w:cs="华文仿宋"/>
                <w:b w:val="0"/>
                <w:bCs/>
                <w:kern w:val="0"/>
                <w:sz w:val="24"/>
                <w:szCs w:val="24"/>
                <w:lang w:val="en-US" w:eastAsia="zh-CN"/>
              </w:rPr>
            </w:pPr>
            <w:r>
              <w:rPr>
                <w:rFonts w:hint="eastAsia" w:ascii="华文仿宋" w:hAnsi="华文仿宋" w:eastAsia="华文仿宋" w:cs="华文仿宋"/>
                <w:b w:val="0"/>
                <w:bCs/>
                <w:kern w:val="0"/>
                <w:sz w:val="24"/>
                <w:szCs w:val="24"/>
                <w:lang w:eastAsia="zh-CN"/>
              </w:rPr>
              <w:t>金胡杨封闭净值型同业理财</w:t>
            </w:r>
            <w:r>
              <w:rPr>
                <w:rFonts w:hint="eastAsia" w:ascii="华文仿宋" w:hAnsi="华文仿宋" w:eastAsia="华文仿宋" w:cs="华文仿宋"/>
                <w:b w:val="0"/>
                <w:bCs/>
                <w:kern w:val="0"/>
                <w:sz w:val="24"/>
                <w:szCs w:val="24"/>
                <w:lang w:val="en-US" w:eastAsia="zh-CN"/>
              </w:rPr>
              <w:t>2021004期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
                <w:bCs w:val="0"/>
                <w:kern w:val="0"/>
                <w:sz w:val="24"/>
                <w:szCs w:val="24"/>
                <w:lang w:eastAsia="zh-CN"/>
              </w:rPr>
            </w:pPr>
            <w:r>
              <w:rPr>
                <w:rFonts w:hint="eastAsia" w:ascii="华文仿宋" w:hAnsi="华文仿宋" w:eastAsia="华文仿宋" w:cs="华文仿宋"/>
                <w:b/>
                <w:bCs w:val="0"/>
                <w:kern w:val="0"/>
                <w:sz w:val="24"/>
                <w:szCs w:val="24"/>
                <w:lang w:eastAsia="zh-CN"/>
              </w:rPr>
              <w:t>产品登记编码</w:t>
            </w:r>
          </w:p>
        </w:tc>
        <w:tc>
          <w:tcPr>
            <w:tcW w:w="8048" w:type="dxa"/>
            <w:vAlign w:val="center"/>
          </w:tcPr>
          <w:p>
            <w:pPr>
              <w:spacing w:line="400" w:lineRule="exact"/>
              <w:jc w:val="left"/>
              <w:rPr>
                <w:rFonts w:hint="default" w:ascii="华文仿宋" w:hAnsi="华文仿宋" w:eastAsia="华文仿宋" w:cs="华文仿宋"/>
                <w:b/>
                <w:bCs w:val="0"/>
                <w:kern w:val="0"/>
                <w:sz w:val="24"/>
                <w:szCs w:val="24"/>
                <w:lang w:val="en-US" w:eastAsia="zh-CN"/>
              </w:rPr>
            </w:pPr>
            <w:r>
              <w:rPr>
                <w:rFonts w:hint="eastAsia" w:ascii="华文仿宋" w:hAnsi="华文仿宋" w:eastAsia="华文仿宋" w:cs="华文仿宋"/>
                <w:b/>
                <w:bCs w:val="0"/>
                <w:kern w:val="0"/>
                <w:sz w:val="24"/>
                <w:szCs w:val="24"/>
                <w:lang w:val="en-US" w:eastAsia="zh-CN"/>
              </w:rPr>
              <w:t>C1364321A000006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 w:val="0"/>
                <w:bCs/>
                <w:kern w:val="0"/>
                <w:sz w:val="24"/>
                <w:szCs w:val="24"/>
              </w:rPr>
            </w:pPr>
            <w:r>
              <w:rPr>
                <w:rFonts w:hint="eastAsia" w:ascii="华文仿宋" w:hAnsi="华文仿宋" w:eastAsia="华文仿宋" w:cs="华文仿宋"/>
                <w:b w:val="0"/>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 w:val="0"/>
                <w:bCs/>
                <w:kern w:val="0"/>
                <w:sz w:val="24"/>
                <w:szCs w:val="24"/>
                <w:u w:val="single"/>
              </w:rPr>
            </w:pPr>
            <w:r>
              <w:rPr>
                <w:rFonts w:hint="eastAsia" w:ascii="华文仿宋" w:hAnsi="华文仿宋" w:eastAsia="华文仿宋" w:cs="华文仿宋"/>
                <w:b w:val="0"/>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 w:val="0"/>
                <w:bCs/>
                <w:kern w:val="0"/>
                <w:sz w:val="24"/>
                <w:szCs w:val="24"/>
              </w:rPr>
            </w:pPr>
            <w:r>
              <w:rPr>
                <w:rFonts w:hint="eastAsia" w:ascii="华文仿宋" w:hAnsi="华文仿宋" w:eastAsia="华文仿宋" w:cs="华文仿宋"/>
                <w:b w:val="0"/>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 w:val="0"/>
                <w:bCs/>
                <w:kern w:val="0"/>
                <w:sz w:val="24"/>
                <w:szCs w:val="24"/>
              </w:rPr>
            </w:pPr>
            <w:r>
              <w:rPr>
                <w:rFonts w:hint="eastAsia" w:ascii="华文仿宋" w:hAnsi="华文仿宋" w:eastAsia="华文仿宋" w:cs="华文仿宋"/>
                <w:b w:val="0"/>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 w:val="0"/>
                <w:bCs/>
                <w:kern w:val="0"/>
                <w:sz w:val="24"/>
                <w:szCs w:val="24"/>
              </w:rPr>
            </w:pPr>
            <w:r>
              <w:rPr>
                <w:rFonts w:hint="eastAsia" w:ascii="华文仿宋" w:hAnsi="华文仿宋" w:eastAsia="华文仿宋" w:cs="华文仿宋"/>
                <w:b w:val="0"/>
                <w:bCs/>
                <w:kern w:val="0"/>
                <w:sz w:val="24"/>
                <w:szCs w:val="24"/>
              </w:rPr>
              <w:t>募集方式</w:t>
            </w:r>
          </w:p>
        </w:tc>
        <w:tc>
          <w:tcPr>
            <w:tcW w:w="8048" w:type="dxa"/>
            <w:vAlign w:val="center"/>
          </w:tcPr>
          <w:p>
            <w:pPr>
              <w:spacing w:line="400" w:lineRule="exact"/>
              <w:jc w:val="left"/>
              <w:rPr>
                <w:rStyle w:val="9"/>
                <w:rFonts w:ascii="华文仿宋" w:hAnsi="华文仿宋" w:eastAsia="华文仿宋" w:cs="华文仿宋"/>
                <w:b w:val="0"/>
                <w:bCs/>
                <w:kern w:val="0"/>
                <w:sz w:val="24"/>
                <w:szCs w:val="24"/>
              </w:rPr>
            </w:pPr>
            <w:r>
              <w:rPr>
                <w:rStyle w:val="9"/>
                <w:rFonts w:hint="eastAsia" w:ascii="华文仿宋" w:hAnsi="华文仿宋" w:eastAsia="华文仿宋" w:cs="华文仿宋"/>
                <w:b w:val="0"/>
                <w:bCs/>
                <w:kern w:val="0"/>
                <w:sz w:val="24"/>
                <w:szCs w:val="24"/>
                <w:lang w:eastAsia="zh-CN"/>
              </w:rPr>
              <w:t>私</w:t>
            </w:r>
            <w:r>
              <w:rPr>
                <w:rStyle w:val="9"/>
                <w:rFonts w:hint="eastAsia" w:ascii="华文仿宋" w:hAnsi="华文仿宋" w:eastAsia="华文仿宋" w:cs="华文仿宋"/>
                <w:b w:val="0"/>
                <w:bCs/>
                <w:kern w:val="0"/>
                <w:sz w:val="24"/>
                <w:szCs w:val="24"/>
              </w:rPr>
              <w:t>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b w:val="0"/>
                <w:bCs/>
                <w:sz w:val="24"/>
                <w:szCs w:val="24"/>
              </w:rPr>
            </w:pPr>
            <w:r>
              <w:rPr>
                <w:rFonts w:hint="eastAsia" w:ascii="华文仿宋" w:hAnsi="华文仿宋" w:eastAsia="华文仿宋" w:cs="华文仿宋"/>
                <w:b w:val="0"/>
                <w:bCs/>
                <w:kern w:val="0"/>
                <w:sz w:val="24"/>
                <w:szCs w:val="24"/>
              </w:rPr>
              <w:t>产品类型</w:t>
            </w:r>
          </w:p>
        </w:tc>
        <w:tc>
          <w:tcPr>
            <w:tcW w:w="8048" w:type="dxa"/>
            <w:vAlign w:val="center"/>
          </w:tcPr>
          <w:p>
            <w:pPr>
              <w:spacing w:line="400" w:lineRule="exact"/>
              <w:jc w:val="left"/>
              <w:rPr>
                <w:rFonts w:ascii="华文仿宋" w:hAnsi="华文仿宋" w:eastAsia="华文仿宋" w:cs="华文仿宋"/>
                <w:b w:val="0"/>
                <w:bCs/>
                <w:sz w:val="24"/>
                <w:szCs w:val="24"/>
              </w:rPr>
            </w:pPr>
            <w:r>
              <w:rPr>
                <w:rStyle w:val="9"/>
                <w:rFonts w:hint="eastAsia" w:ascii="华文仿宋" w:hAnsi="华文仿宋" w:eastAsia="华文仿宋" w:cs="华文仿宋"/>
                <w:b w:val="0"/>
                <w:bCs/>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产品运作模式</w:t>
            </w:r>
          </w:p>
        </w:tc>
        <w:tc>
          <w:tcPr>
            <w:tcW w:w="8048" w:type="dxa"/>
            <w:vAlign w:val="center"/>
          </w:tcPr>
          <w:p>
            <w:pPr>
              <w:spacing w:line="400" w:lineRule="exact"/>
              <w:jc w:val="left"/>
              <w:rPr>
                <w:rStyle w:val="9"/>
                <w:rFonts w:ascii="华文仿宋" w:hAnsi="华文仿宋" w:eastAsia="华文仿宋" w:cs="华文仿宋"/>
                <w:b/>
                <w:bCs w:val="0"/>
                <w:kern w:val="0"/>
                <w:sz w:val="24"/>
                <w:szCs w:val="24"/>
              </w:rPr>
            </w:pPr>
            <w:r>
              <w:rPr>
                <w:rStyle w:val="9"/>
                <w:rFonts w:hint="eastAsia" w:ascii="华文仿宋" w:hAnsi="华文仿宋" w:eastAsia="华文仿宋" w:cs="华文仿宋"/>
                <w:b/>
                <w:bCs w:val="0"/>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产品投资性质</w:t>
            </w:r>
          </w:p>
        </w:tc>
        <w:tc>
          <w:tcPr>
            <w:tcW w:w="8048" w:type="dxa"/>
            <w:vAlign w:val="center"/>
          </w:tcPr>
          <w:p>
            <w:pPr>
              <w:spacing w:line="400" w:lineRule="exact"/>
              <w:jc w:val="left"/>
              <w:rPr>
                <w:rStyle w:val="9"/>
                <w:rFonts w:ascii="华文仿宋" w:hAnsi="华文仿宋" w:eastAsia="华文仿宋" w:cs="华文仿宋"/>
                <w:b/>
                <w:bCs w:val="0"/>
                <w:kern w:val="0"/>
                <w:sz w:val="24"/>
                <w:szCs w:val="24"/>
              </w:rPr>
            </w:pPr>
            <w:r>
              <w:rPr>
                <w:rStyle w:val="9"/>
                <w:rFonts w:hint="eastAsia" w:ascii="华文仿宋" w:hAnsi="华文仿宋" w:eastAsia="华文仿宋" w:cs="华文仿宋"/>
                <w:b/>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b w:val="0"/>
                <w:bCs/>
                <w:sz w:val="24"/>
                <w:szCs w:val="24"/>
              </w:rPr>
            </w:pPr>
            <w:r>
              <w:rPr>
                <w:rFonts w:hint="eastAsia" w:ascii="华文仿宋" w:hAnsi="华文仿宋" w:eastAsia="华文仿宋" w:cs="华文仿宋"/>
                <w:b w:val="0"/>
                <w:bCs/>
                <w:kern w:val="0"/>
                <w:sz w:val="24"/>
                <w:szCs w:val="24"/>
              </w:rPr>
              <w:t>产品期限</w:t>
            </w:r>
          </w:p>
        </w:tc>
        <w:tc>
          <w:tcPr>
            <w:tcW w:w="8048" w:type="dxa"/>
            <w:vAlign w:val="center"/>
          </w:tcPr>
          <w:p>
            <w:pPr>
              <w:spacing w:line="400" w:lineRule="exact"/>
              <w:jc w:val="left"/>
              <w:rPr>
                <w:rFonts w:hint="default" w:ascii="华文仿宋" w:hAnsi="华文仿宋" w:eastAsia="华文仿宋" w:cs="华文仿宋"/>
                <w:b w:val="0"/>
                <w:bCs/>
                <w:sz w:val="24"/>
                <w:szCs w:val="24"/>
                <w:lang w:val="en-US" w:eastAsia="zh-CN"/>
              </w:rPr>
            </w:pPr>
            <w:r>
              <w:rPr>
                <w:rFonts w:hint="eastAsia" w:ascii="华文仿宋" w:hAnsi="华文仿宋" w:eastAsia="华文仿宋" w:cs="华文仿宋"/>
                <w:b w:val="0"/>
                <w:bCs/>
                <w:sz w:val="24"/>
                <w:szCs w:val="24"/>
                <w:lang w:val="en-US" w:eastAsia="zh-CN"/>
              </w:rPr>
              <w:t>322天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w:t>
            </w:r>
            <w:r>
              <w:rPr>
                <w:rFonts w:hint="eastAsia" w:ascii="华文仿宋" w:hAnsi="华文仿宋" w:eastAsia="华文仿宋" w:cs="华文仿宋"/>
                <w:b/>
                <w:kern w:val="0"/>
                <w:sz w:val="24"/>
                <w:szCs w:val="24"/>
                <w:lang w:eastAsia="zh-CN"/>
              </w:rPr>
              <w:t>中低风险</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hint="eastAsia" w:ascii="华文仿宋" w:hAnsi="华文仿宋" w:eastAsia="华文仿宋" w:cs="华文仿宋"/>
                <w:bCs/>
                <w:kern w:val="0"/>
                <w:sz w:val="24"/>
                <w:szCs w:val="24"/>
                <w:lang w:eastAsia="zh-CN"/>
              </w:rPr>
            </w:pPr>
            <w:r>
              <w:rPr>
                <w:rFonts w:hint="eastAsia" w:ascii="华文仿宋" w:hAnsi="华文仿宋" w:eastAsia="华文仿宋" w:cs="华文仿宋"/>
                <w:bCs/>
                <w:kern w:val="0"/>
                <w:sz w:val="24"/>
                <w:szCs w:val="24"/>
              </w:rPr>
              <w:t>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w:t>
            </w:r>
            <w:r>
              <w:rPr>
                <w:rFonts w:hint="eastAsia" w:ascii="华文仿宋" w:hAnsi="华文仿宋" w:eastAsia="华文仿宋" w:cs="华文仿宋"/>
                <w:bCs/>
                <w:kern w:val="0"/>
                <w:sz w:val="24"/>
                <w:szCs w:val="24"/>
                <w:lang w:eastAsia="zh-CN"/>
              </w:rPr>
              <w:t>合格投资者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认购起点</w:t>
            </w:r>
          </w:p>
        </w:tc>
        <w:tc>
          <w:tcPr>
            <w:tcW w:w="8048" w:type="dxa"/>
            <w:vAlign w:val="center"/>
          </w:tcPr>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本理财产品认购起点为人民币</w:t>
            </w:r>
            <w:r>
              <w:rPr>
                <w:rFonts w:hint="eastAsia" w:ascii="华文仿宋" w:hAnsi="华文仿宋" w:eastAsia="华文仿宋" w:cs="华文仿宋"/>
                <w:b/>
                <w:bCs w:val="0"/>
                <w:kern w:val="0"/>
                <w:sz w:val="24"/>
                <w:szCs w:val="24"/>
                <w:lang w:val="en-US" w:eastAsia="zh-CN"/>
              </w:rPr>
              <w:t>1000</w:t>
            </w:r>
            <w:r>
              <w:rPr>
                <w:rFonts w:hint="eastAsia" w:ascii="华文仿宋" w:hAnsi="华文仿宋" w:eastAsia="华文仿宋" w:cs="华文仿宋"/>
                <w:b/>
                <w:bCs w:val="0"/>
                <w:kern w:val="0"/>
                <w:sz w:val="24"/>
                <w:szCs w:val="24"/>
              </w:rPr>
              <w:t>万元，以1</w:t>
            </w:r>
            <w:r>
              <w:rPr>
                <w:rFonts w:hint="eastAsia" w:ascii="华文仿宋" w:hAnsi="华文仿宋" w:eastAsia="华文仿宋" w:cs="华文仿宋"/>
                <w:b/>
                <w:bCs w:val="0"/>
                <w:kern w:val="0"/>
                <w:sz w:val="24"/>
                <w:szCs w:val="24"/>
                <w:lang w:eastAsia="zh-CN"/>
              </w:rPr>
              <w:t>万元</w:t>
            </w:r>
            <w:r>
              <w:rPr>
                <w:rFonts w:hint="eastAsia" w:ascii="华文仿宋" w:hAnsi="华文仿宋" w:eastAsia="华文仿宋" w:cs="华文仿宋"/>
                <w:b/>
                <w:bCs w:val="0"/>
                <w:kern w:val="0"/>
                <w:sz w:val="24"/>
                <w:szCs w:val="24"/>
              </w:rPr>
              <w:t>整数倍递增。</w:t>
            </w:r>
          </w:p>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 w:val="0"/>
                <w:bCs/>
                <w:kern w:val="0"/>
                <w:sz w:val="24"/>
                <w:szCs w:val="24"/>
              </w:rPr>
            </w:pPr>
            <w:r>
              <w:rPr>
                <w:rFonts w:hint="eastAsia" w:ascii="华文仿宋" w:hAnsi="华文仿宋" w:eastAsia="华文仿宋" w:cs="华文仿宋"/>
                <w:b w:val="0"/>
                <w:bCs/>
                <w:kern w:val="0"/>
                <w:sz w:val="24"/>
                <w:szCs w:val="24"/>
              </w:rPr>
              <w:t>募集规模</w:t>
            </w:r>
          </w:p>
        </w:tc>
        <w:tc>
          <w:tcPr>
            <w:tcW w:w="8048" w:type="dxa"/>
            <w:vAlign w:val="center"/>
          </w:tcPr>
          <w:p>
            <w:pPr>
              <w:spacing w:line="400" w:lineRule="exact"/>
              <w:jc w:val="left"/>
              <w:rPr>
                <w:rFonts w:ascii="华文仿宋" w:hAnsi="华文仿宋" w:eastAsia="华文仿宋" w:cs="华文仿宋"/>
                <w:b w:val="0"/>
                <w:bCs/>
                <w:kern w:val="0"/>
                <w:sz w:val="24"/>
                <w:szCs w:val="24"/>
              </w:rPr>
            </w:pPr>
            <w:r>
              <w:rPr>
                <w:rFonts w:hint="eastAsia" w:ascii="华文仿宋" w:hAnsi="华文仿宋" w:eastAsia="华文仿宋" w:cs="华文仿宋"/>
                <w:b w:val="0"/>
                <w:bCs/>
                <w:kern w:val="0"/>
                <w:sz w:val="24"/>
                <w:szCs w:val="24"/>
              </w:rPr>
              <w:t>产品规模上限</w:t>
            </w:r>
            <w:r>
              <w:rPr>
                <w:rFonts w:hint="eastAsia" w:ascii="华文仿宋" w:hAnsi="华文仿宋" w:eastAsia="华文仿宋" w:cs="华文仿宋"/>
                <w:b w:val="0"/>
                <w:bCs/>
                <w:kern w:val="0"/>
                <w:sz w:val="24"/>
                <w:szCs w:val="24"/>
                <w:lang w:val="en-US" w:eastAsia="zh-CN"/>
              </w:rPr>
              <w:t>10000</w:t>
            </w:r>
            <w:r>
              <w:rPr>
                <w:rFonts w:hint="eastAsia" w:ascii="华文仿宋" w:hAnsi="华文仿宋" w:eastAsia="华文仿宋" w:cs="华文仿宋"/>
                <w:b w:val="0"/>
                <w:bCs/>
                <w:kern w:val="0"/>
                <w:sz w:val="24"/>
                <w:szCs w:val="24"/>
              </w:rPr>
              <w:t>万元，产品成立规模下限</w:t>
            </w:r>
            <w:r>
              <w:rPr>
                <w:rFonts w:hint="eastAsia" w:ascii="华文仿宋" w:hAnsi="华文仿宋" w:eastAsia="华文仿宋" w:cs="华文仿宋"/>
                <w:b w:val="0"/>
                <w:bCs/>
                <w:kern w:val="0"/>
                <w:sz w:val="24"/>
                <w:szCs w:val="24"/>
                <w:lang w:val="en-US" w:eastAsia="zh-CN"/>
              </w:rPr>
              <w:t>1000</w:t>
            </w:r>
            <w:r>
              <w:rPr>
                <w:rFonts w:hint="eastAsia" w:ascii="华文仿宋" w:hAnsi="华文仿宋" w:eastAsia="华文仿宋" w:cs="华文仿宋"/>
                <w:b w:val="0"/>
                <w:bCs/>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产品募集期</w:t>
            </w:r>
          </w:p>
        </w:tc>
        <w:tc>
          <w:tcPr>
            <w:tcW w:w="8048" w:type="dxa"/>
            <w:vAlign w:val="center"/>
          </w:tcPr>
          <w:p>
            <w:pPr>
              <w:spacing w:line="400" w:lineRule="exact"/>
              <w:ind w:firstLine="480" w:firstLineChars="200"/>
              <w:jc w:val="left"/>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lang w:val="en-US" w:eastAsia="zh-CN"/>
              </w:rPr>
              <w:t>2021</w:t>
            </w:r>
            <w:r>
              <w:rPr>
                <w:rFonts w:hint="eastAsia" w:ascii="华文仿宋" w:hAnsi="华文仿宋" w:eastAsia="华文仿宋" w:cs="华文仿宋"/>
                <w:b/>
                <w:bCs w:val="0"/>
                <w:kern w:val="0"/>
                <w:sz w:val="24"/>
                <w:szCs w:val="24"/>
              </w:rPr>
              <w:t>年</w:t>
            </w:r>
            <w:r>
              <w:rPr>
                <w:rFonts w:hint="eastAsia" w:ascii="华文仿宋" w:hAnsi="华文仿宋" w:eastAsia="华文仿宋" w:cs="华文仿宋"/>
                <w:b/>
                <w:bCs w:val="0"/>
                <w:kern w:val="0"/>
                <w:sz w:val="24"/>
                <w:szCs w:val="24"/>
                <w:lang w:val="en-US" w:eastAsia="zh-CN"/>
              </w:rPr>
              <w:t xml:space="preserve"> 02</w:t>
            </w:r>
            <w:r>
              <w:rPr>
                <w:rFonts w:hint="eastAsia" w:ascii="华文仿宋" w:hAnsi="华文仿宋" w:eastAsia="华文仿宋" w:cs="华文仿宋"/>
                <w:b/>
                <w:bCs w:val="0"/>
                <w:kern w:val="0"/>
                <w:sz w:val="24"/>
                <w:szCs w:val="24"/>
              </w:rPr>
              <w:t>月</w:t>
            </w:r>
            <w:r>
              <w:rPr>
                <w:rFonts w:hint="eastAsia" w:ascii="华文仿宋" w:hAnsi="华文仿宋" w:eastAsia="华文仿宋" w:cs="华文仿宋"/>
                <w:b/>
                <w:bCs w:val="0"/>
                <w:kern w:val="0"/>
                <w:sz w:val="24"/>
                <w:szCs w:val="24"/>
                <w:lang w:val="en-US" w:eastAsia="zh-CN"/>
              </w:rPr>
              <w:t xml:space="preserve"> 04 </w:t>
            </w:r>
            <w:r>
              <w:rPr>
                <w:rFonts w:hint="eastAsia" w:ascii="华文仿宋" w:hAnsi="华文仿宋" w:eastAsia="华文仿宋" w:cs="华文仿宋"/>
                <w:b/>
                <w:bCs w:val="0"/>
                <w:kern w:val="0"/>
                <w:sz w:val="24"/>
                <w:szCs w:val="24"/>
              </w:rPr>
              <w:t>日至</w:t>
            </w:r>
            <w:r>
              <w:rPr>
                <w:rFonts w:hint="eastAsia" w:ascii="华文仿宋" w:hAnsi="华文仿宋" w:eastAsia="华文仿宋" w:cs="华文仿宋"/>
                <w:b/>
                <w:bCs w:val="0"/>
                <w:kern w:val="0"/>
                <w:sz w:val="24"/>
                <w:szCs w:val="24"/>
                <w:lang w:val="en-US" w:eastAsia="zh-CN"/>
              </w:rPr>
              <w:t xml:space="preserve"> 2021 </w:t>
            </w:r>
            <w:r>
              <w:rPr>
                <w:rFonts w:hint="eastAsia" w:ascii="华文仿宋" w:hAnsi="华文仿宋" w:eastAsia="华文仿宋" w:cs="华文仿宋"/>
                <w:b/>
                <w:bCs w:val="0"/>
                <w:kern w:val="0"/>
                <w:sz w:val="24"/>
                <w:szCs w:val="24"/>
              </w:rPr>
              <w:t>年</w:t>
            </w:r>
            <w:r>
              <w:rPr>
                <w:rFonts w:hint="eastAsia" w:ascii="华文仿宋" w:hAnsi="华文仿宋" w:eastAsia="华文仿宋" w:cs="华文仿宋"/>
                <w:b/>
                <w:bCs w:val="0"/>
                <w:kern w:val="0"/>
                <w:sz w:val="24"/>
                <w:szCs w:val="24"/>
                <w:lang w:val="en-US" w:eastAsia="zh-CN"/>
              </w:rPr>
              <w:t xml:space="preserve"> 02 </w:t>
            </w:r>
            <w:r>
              <w:rPr>
                <w:rFonts w:hint="eastAsia" w:ascii="华文仿宋" w:hAnsi="华文仿宋" w:eastAsia="华文仿宋" w:cs="华文仿宋"/>
                <w:b/>
                <w:bCs w:val="0"/>
                <w:kern w:val="0"/>
                <w:sz w:val="24"/>
                <w:szCs w:val="24"/>
              </w:rPr>
              <w:t>月</w:t>
            </w:r>
            <w:r>
              <w:rPr>
                <w:rFonts w:hint="eastAsia" w:ascii="华文仿宋" w:hAnsi="华文仿宋" w:eastAsia="华文仿宋" w:cs="华文仿宋"/>
                <w:b/>
                <w:bCs w:val="0"/>
                <w:kern w:val="0"/>
                <w:sz w:val="24"/>
                <w:szCs w:val="24"/>
                <w:lang w:val="en-US" w:eastAsia="zh-CN"/>
              </w:rPr>
              <w:t xml:space="preserve"> 04 </w:t>
            </w:r>
            <w:r>
              <w:rPr>
                <w:rFonts w:hint="eastAsia" w:ascii="华文仿宋" w:hAnsi="华文仿宋" w:eastAsia="华文仿宋" w:cs="华文仿宋"/>
                <w:b/>
                <w:bCs w:val="0"/>
                <w:kern w:val="0"/>
                <w:sz w:val="24"/>
                <w:szCs w:val="24"/>
              </w:rPr>
              <w:t>日。即客户可以购买本产品的时间段。客户在募集期</w:t>
            </w:r>
            <w:bookmarkStart w:id="0" w:name="_GoBack"/>
            <w:bookmarkEnd w:id="0"/>
            <w:r>
              <w:rPr>
                <w:rFonts w:hint="eastAsia" w:ascii="华文仿宋" w:hAnsi="华文仿宋" w:eastAsia="华文仿宋" w:cs="华文仿宋"/>
                <w:b/>
                <w:bCs w:val="0"/>
                <w:kern w:val="0"/>
                <w:sz w:val="24"/>
                <w:szCs w:val="24"/>
              </w:rPr>
              <w:t>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产品成立日</w:t>
            </w:r>
          </w:p>
        </w:tc>
        <w:tc>
          <w:tcPr>
            <w:tcW w:w="8048" w:type="dxa"/>
            <w:vAlign w:val="center"/>
          </w:tcPr>
          <w:p>
            <w:pPr>
              <w:spacing w:line="400" w:lineRule="exact"/>
              <w:ind w:firstLine="480" w:firstLineChars="200"/>
              <w:jc w:val="left"/>
              <w:rPr>
                <w:rFonts w:hint="default" w:ascii="华文仿宋" w:hAnsi="华文仿宋" w:eastAsia="华文仿宋" w:cs="华文仿宋"/>
                <w:b/>
                <w:bCs w:val="0"/>
                <w:sz w:val="24"/>
                <w:szCs w:val="24"/>
                <w:lang w:val="en-US" w:eastAsia="zh-CN"/>
              </w:rPr>
            </w:pPr>
            <w:r>
              <w:rPr>
                <w:rFonts w:hint="eastAsia" w:ascii="华文仿宋" w:hAnsi="华文仿宋" w:eastAsia="华文仿宋" w:cs="华文仿宋"/>
                <w:b/>
                <w:bCs w:val="0"/>
                <w:kern w:val="0"/>
                <w:sz w:val="24"/>
                <w:szCs w:val="24"/>
                <w:lang w:val="en-US" w:eastAsia="zh-CN"/>
              </w:rPr>
              <w:t>2021</w:t>
            </w:r>
            <w:r>
              <w:rPr>
                <w:rFonts w:hint="eastAsia" w:ascii="华文仿宋" w:hAnsi="华文仿宋" w:eastAsia="华文仿宋" w:cs="华文仿宋"/>
                <w:b/>
                <w:bCs w:val="0"/>
                <w:kern w:val="0"/>
                <w:sz w:val="24"/>
                <w:szCs w:val="24"/>
              </w:rPr>
              <w:t xml:space="preserve">年 </w:t>
            </w:r>
            <w:r>
              <w:rPr>
                <w:rFonts w:hint="eastAsia" w:ascii="华文仿宋" w:hAnsi="华文仿宋" w:eastAsia="华文仿宋" w:cs="华文仿宋"/>
                <w:b/>
                <w:bCs w:val="0"/>
                <w:kern w:val="0"/>
                <w:sz w:val="24"/>
                <w:szCs w:val="24"/>
                <w:lang w:val="en-US" w:eastAsia="zh-CN"/>
              </w:rPr>
              <w:t>02</w:t>
            </w:r>
            <w:r>
              <w:rPr>
                <w:rFonts w:hint="eastAsia" w:ascii="华文仿宋" w:hAnsi="华文仿宋" w:eastAsia="华文仿宋" w:cs="华文仿宋"/>
                <w:b/>
                <w:bCs w:val="0"/>
                <w:kern w:val="0"/>
                <w:sz w:val="24"/>
                <w:szCs w:val="24"/>
              </w:rPr>
              <w:t>月</w:t>
            </w:r>
            <w:r>
              <w:rPr>
                <w:rFonts w:hint="eastAsia" w:ascii="华文仿宋" w:hAnsi="华文仿宋" w:eastAsia="华文仿宋" w:cs="华文仿宋"/>
                <w:b/>
                <w:bCs w:val="0"/>
                <w:kern w:val="0"/>
                <w:sz w:val="24"/>
                <w:szCs w:val="24"/>
                <w:lang w:val="en-US" w:eastAsia="zh-CN"/>
              </w:rPr>
              <w:t xml:space="preserve">04 </w:t>
            </w:r>
            <w:r>
              <w:rPr>
                <w:rFonts w:hint="eastAsia" w:ascii="华文仿宋" w:hAnsi="华文仿宋" w:eastAsia="华文仿宋" w:cs="华文仿宋"/>
                <w:b/>
                <w:bCs w:val="0"/>
                <w:kern w:val="0"/>
                <w:sz w:val="24"/>
                <w:szCs w:val="24"/>
              </w:rPr>
              <w:t>日，理财产品自成立日起计算理财收益。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r>
              <w:rPr>
                <w:rFonts w:hint="eastAsia" w:ascii="华文仿宋" w:hAnsi="华文仿宋" w:eastAsia="华文仿宋" w:cs="华文仿宋"/>
                <w:b/>
                <w:bCs w:val="0"/>
                <w:kern w:val="0"/>
                <w:sz w:val="24"/>
                <w:szCs w:val="24"/>
                <w:highlight w:val="none"/>
                <w:lang w:eastAsia="zh-CN"/>
              </w:rPr>
              <w:t>；（</w:t>
            </w:r>
            <w:r>
              <w:rPr>
                <w:rFonts w:hint="eastAsia" w:ascii="华文仿宋" w:hAnsi="华文仿宋" w:eastAsia="华文仿宋" w:cs="华文仿宋"/>
                <w:b/>
                <w:bCs w:val="0"/>
                <w:kern w:val="0"/>
                <w:sz w:val="24"/>
                <w:szCs w:val="24"/>
                <w:highlight w:val="none"/>
                <w:lang w:val="en-US" w:eastAsia="zh-CN"/>
              </w:rPr>
              <w:t>3）如产品募集日和成立日为同一日期的情况。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产品到期日</w:t>
            </w:r>
          </w:p>
        </w:tc>
        <w:tc>
          <w:tcPr>
            <w:tcW w:w="8048" w:type="dxa"/>
            <w:vAlign w:val="center"/>
          </w:tcPr>
          <w:p>
            <w:pPr>
              <w:spacing w:line="400" w:lineRule="exact"/>
              <w:ind w:firstLine="480" w:firstLineChars="200"/>
              <w:jc w:val="left"/>
              <w:rPr>
                <w:rFonts w:ascii="华文仿宋" w:hAnsi="华文仿宋" w:eastAsia="华文仿宋" w:cs="华文仿宋"/>
                <w:b/>
                <w:bCs w:val="0"/>
                <w:sz w:val="24"/>
                <w:szCs w:val="24"/>
              </w:rPr>
            </w:pPr>
            <w:r>
              <w:rPr>
                <w:rFonts w:hint="eastAsia" w:ascii="华文仿宋" w:hAnsi="华文仿宋" w:eastAsia="华文仿宋" w:cs="华文仿宋"/>
                <w:b/>
                <w:bCs w:val="0"/>
                <w:sz w:val="24"/>
                <w:szCs w:val="24"/>
                <w:lang w:val="en-US" w:eastAsia="zh-CN"/>
              </w:rPr>
              <w:t>2021年12</w:t>
            </w:r>
            <w:r>
              <w:rPr>
                <w:rFonts w:hint="eastAsia" w:ascii="华文仿宋" w:hAnsi="华文仿宋" w:eastAsia="华文仿宋" w:cs="华文仿宋"/>
                <w:b/>
                <w:bCs w:val="0"/>
                <w:sz w:val="24"/>
                <w:szCs w:val="24"/>
              </w:rPr>
              <w:t>月</w:t>
            </w:r>
            <w:r>
              <w:rPr>
                <w:rFonts w:hint="eastAsia" w:ascii="华文仿宋" w:hAnsi="华文仿宋" w:eastAsia="华文仿宋" w:cs="华文仿宋"/>
                <w:b/>
                <w:bCs w:val="0"/>
                <w:sz w:val="24"/>
                <w:szCs w:val="24"/>
                <w:lang w:val="en-US" w:eastAsia="zh-CN"/>
              </w:rPr>
              <w:t>23日</w:t>
            </w:r>
            <w:r>
              <w:rPr>
                <w:rFonts w:hint="eastAsia" w:ascii="华文仿宋" w:hAnsi="华文仿宋" w:eastAsia="华文仿宋" w:cs="华文仿宋"/>
                <w:b/>
                <w:bCs w:val="0"/>
                <w:sz w:val="24"/>
                <w:szCs w:val="24"/>
              </w:rPr>
              <w:t>，到期日（或提前终止日）至兑付日之间客户资金不计收益。</w:t>
            </w:r>
          </w:p>
          <w:p>
            <w:pPr>
              <w:spacing w:line="400" w:lineRule="exact"/>
              <w:jc w:val="left"/>
              <w:rPr>
                <w:rFonts w:ascii="华文仿宋" w:hAnsi="华文仿宋" w:eastAsia="华文仿宋" w:cs="华文仿宋"/>
                <w:b/>
                <w:bCs w:val="0"/>
                <w:sz w:val="24"/>
                <w:szCs w:val="24"/>
              </w:rPr>
            </w:pPr>
            <w:r>
              <w:rPr>
                <w:rFonts w:hint="eastAsia" w:ascii="华文仿宋" w:hAnsi="华文仿宋" w:eastAsia="华文仿宋" w:cs="华文仿宋"/>
                <w:b/>
                <w:bCs w:val="0"/>
                <w:sz w:val="24"/>
                <w:szCs w:val="24"/>
              </w:rPr>
              <w:t>如遇非工作日则顺延至其后第一个工作日，</w:t>
            </w:r>
            <w:r>
              <w:rPr>
                <w:rFonts w:hint="eastAsia" w:ascii="华文仿宋" w:hAnsi="华文仿宋" w:eastAsia="华文仿宋" w:cs="华文仿宋"/>
                <w:b/>
                <w:bCs w:val="0"/>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产品兑付日</w:t>
            </w:r>
          </w:p>
        </w:tc>
        <w:tc>
          <w:tcPr>
            <w:tcW w:w="8048" w:type="dxa"/>
            <w:vAlign w:val="center"/>
          </w:tcPr>
          <w:p>
            <w:pPr>
              <w:spacing w:line="400" w:lineRule="exact"/>
              <w:ind w:right="-107" w:rightChars="-51" w:firstLine="240" w:firstLineChars="100"/>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sz w:val="24"/>
                <w:szCs w:val="24"/>
                <w:lang w:val="en-US" w:eastAsia="zh-CN"/>
              </w:rPr>
              <w:t>2021</w:t>
            </w:r>
            <w:r>
              <w:rPr>
                <w:rFonts w:hint="eastAsia" w:ascii="华文仿宋" w:hAnsi="华文仿宋" w:eastAsia="华文仿宋" w:cs="华文仿宋"/>
                <w:b/>
                <w:bCs w:val="0"/>
                <w:sz w:val="24"/>
                <w:szCs w:val="24"/>
              </w:rPr>
              <w:t xml:space="preserve">年 </w:t>
            </w:r>
            <w:r>
              <w:rPr>
                <w:rFonts w:hint="eastAsia" w:ascii="华文仿宋" w:hAnsi="华文仿宋" w:eastAsia="华文仿宋" w:cs="华文仿宋"/>
                <w:b/>
                <w:bCs w:val="0"/>
                <w:sz w:val="24"/>
                <w:szCs w:val="24"/>
                <w:lang w:val="en-US" w:eastAsia="zh-CN"/>
              </w:rPr>
              <w:t>12</w:t>
            </w:r>
            <w:r>
              <w:rPr>
                <w:rFonts w:hint="eastAsia" w:ascii="华文仿宋" w:hAnsi="华文仿宋" w:eastAsia="华文仿宋" w:cs="华文仿宋"/>
                <w:b/>
                <w:bCs w:val="0"/>
                <w:sz w:val="24"/>
                <w:szCs w:val="24"/>
              </w:rPr>
              <w:t>月</w:t>
            </w:r>
            <w:r>
              <w:rPr>
                <w:rFonts w:hint="eastAsia" w:ascii="华文仿宋" w:hAnsi="华文仿宋" w:eastAsia="华文仿宋" w:cs="华文仿宋"/>
                <w:b/>
                <w:bCs w:val="0"/>
                <w:sz w:val="24"/>
                <w:szCs w:val="24"/>
                <w:lang w:val="en-US" w:eastAsia="zh-CN"/>
              </w:rPr>
              <w:t>23日</w:t>
            </w:r>
            <w:r>
              <w:rPr>
                <w:rFonts w:hint="eastAsia" w:ascii="华文仿宋" w:hAnsi="华文仿宋" w:eastAsia="华文仿宋" w:cs="华文仿宋"/>
                <w:b/>
                <w:bCs w:val="0"/>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
                <w:bCs w:val="0"/>
                <w:kern w:val="0"/>
                <w:sz w:val="24"/>
                <w:szCs w:val="24"/>
              </w:rPr>
              <w:t>（网址：www.xjbank.com）</w:t>
            </w:r>
            <w:r>
              <w:rPr>
                <w:rFonts w:hint="eastAsia" w:ascii="华文仿宋" w:hAnsi="华文仿宋" w:eastAsia="华文仿宋" w:cs="华文仿宋"/>
                <w:b/>
                <w:bCs w:val="0"/>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业绩比较基准</w:t>
            </w:r>
          </w:p>
        </w:tc>
        <w:tc>
          <w:tcPr>
            <w:tcW w:w="8048" w:type="dxa"/>
            <w:vAlign w:val="center"/>
          </w:tcPr>
          <w:p>
            <w:pPr>
              <w:spacing w:line="400" w:lineRule="exact"/>
              <w:jc w:val="left"/>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本产品业绩比较基准为</w:t>
            </w:r>
            <w:r>
              <w:rPr>
                <w:rFonts w:hint="eastAsia" w:ascii="华文仿宋" w:hAnsi="华文仿宋" w:eastAsia="华文仿宋" w:cs="华文仿宋"/>
                <w:b/>
                <w:bCs w:val="0"/>
                <w:kern w:val="0"/>
                <w:sz w:val="24"/>
                <w:szCs w:val="24"/>
                <w:lang w:val="en-US" w:eastAsia="zh-CN"/>
              </w:rPr>
              <w:t xml:space="preserve">4.55 </w:t>
            </w:r>
            <w:r>
              <w:rPr>
                <w:rFonts w:hint="eastAsia" w:ascii="华文仿宋" w:hAnsi="华文仿宋" w:eastAsia="华文仿宋" w:cs="华文仿宋"/>
                <w:b/>
                <w:bCs w:val="0"/>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
                <w:bCs w:val="0"/>
                <w:color w:val="auto"/>
                <w:kern w:val="0"/>
                <w:sz w:val="24"/>
                <w:szCs w:val="24"/>
              </w:rPr>
            </w:pPr>
            <w:r>
              <w:rPr>
                <w:rFonts w:hint="eastAsia" w:ascii="华文仿宋" w:hAnsi="华文仿宋" w:eastAsia="华文仿宋" w:cs="华文仿宋"/>
                <w:b/>
                <w:bCs w:val="0"/>
                <w:color w:val="auto"/>
                <w:kern w:val="0"/>
                <w:sz w:val="24"/>
                <w:szCs w:val="24"/>
              </w:rPr>
              <w:t>本产品</w:t>
            </w:r>
            <w:r>
              <w:rPr>
                <w:rFonts w:hint="eastAsia" w:ascii="华文仿宋" w:hAnsi="华文仿宋" w:eastAsia="华文仿宋" w:cs="华文仿宋"/>
                <w:b/>
                <w:bCs w:val="0"/>
                <w:color w:val="auto"/>
                <w:kern w:val="0"/>
                <w:sz w:val="24"/>
                <w:szCs w:val="24"/>
                <w:lang w:eastAsia="zh-CN"/>
              </w:rPr>
              <w:t>的</w:t>
            </w:r>
            <w:r>
              <w:rPr>
                <w:rFonts w:hint="eastAsia" w:ascii="华文仿宋" w:hAnsi="华文仿宋" w:eastAsia="华文仿宋" w:cs="华文仿宋"/>
                <w:b/>
                <w:bCs w:val="0"/>
                <w:color w:val="auto"/>
                <w:kern w:val="0"/>
                <w:sz w:val="24"/>
                <w:szCs w:val="24"/>
              </w:rPr>
              <w:t>销售管理费</w:t>
            </w:r>
            <w:r>
              <w:rPr>
                <w:rFonts w:hint="eastAsia" w:ascii="华文仿宋" w:hAnsi="华文仿宋" w:eastAsia="华文仿宋" w:cs="华文仿宋"/>
                <w:b/>
                <w:bCs w:val="0"/>
                <w:color w:val="auto"/>
                <w:kern w:val="0"/>
                <w:sz w:val="24"/>
                <w:szCs w:val="24"/>
                <w:lang w:val="en-US" w:eastAsia="zh-CN"/>
              </w:rPr>
              <w:t>0%/年、</w:t>
            </w:r>
            <w:r>
              <w:rPr>
                <w:rFonts w:hint="eastAsia" w:ascii="华文仿宋" w:hAnsi="华文仿宋" w:eastAsia="华文仿宋" w:cs="华文仿宋"/>
                <w:b/>
                <w:bCs w:val="0"/>
                <w:color w:val="auto"/>
                <w:kern w:val="0"/>
                <w:sz w:val="24"/>
                <w:szCs w:val="24"/>
                <w:lang w:eastAsia="zh-CN"/>
              </w:rPr>
              <w:t>产品</w:t>
            </w:r>
            <w:r>
              <w:rPr>
                <w:rFonts w:hint="eastAsia" w:ascii="华文仿宋" w:hAnsi="华文仿宋" w:eastAsia="华文仿宋" w:cs="华文仿宋"/>
                <w:b/>
                <w:bCs w:val="0"/>
                <w:color w:val="auto"/>
                <w:kern w:val="0"/>
                <w:sz w:val="24"/>
                <w:szCs w:val="24"/>
              </w:rPr>
              <w:t>托管费</w:t>
            </w:r>
            <w:r>
              <w:rPr>
                <w:rFonts w:hint="eastAsia" w:ascii="华文仿宋" w:hAnsi="华文仿宋" w:eastAsia="华文仿宋" w:cs="华文仿宋"/>
                <w:b/>
                <w:bCs w:val="0"/>
                <w:color w:val="auto"/>
                <w:kern w:val="0"/>
                <w:sz w:val="24"/>
                <w:szCs w:val="24"/>
                <w:lang w:val="en-US" w:eastAsia="zh-CN"/>
              </w:rPr>
              <w:t>0.01</w:t>
            </w:r>
            <w:r>
              <w:rPr>
                <w:rFonts w:hint="eastAsia" w:ascii="华文仿宋" w:hAnsi="华文仿宋" w:eastAsia="华文仿宋" w:cs="华文仿宋"/>
                <w:b/>
                <w:bCs w:val="0"/>
                <w:color w:val="auto"/>
                <w:kern w:val="0"/>
                <w:sz w:val="24"/>
                <w:szCs w:val="24"/>
              </w:rPr>
              <w:t>%/年、固定管理费</w:t>
            </w:r>
            <w:r>
              <w:rPr>
                <w:rFonts w:hint="eastAsia" w:ascii="华文仿宋" w:hAnsi="华文仿宋" w:eastAsia="华文仿宋" w:cs="华文仿宋"/>
                <w:b/>
                <w:bCs w:val="0"/>
                <w:color w:val="auto"/>
                <w:kern w:val="0"/>
                <w:sz w:val="24"/>
                <w:szCs w:val="24"/>
                <w:lang w:val="en-US" w:eastAsia="zh-CN"/>
              </w:rPr>
              <w:t>0.2</w:t>
            </w:r>
            <w:r>
              <w:rPr>
                <w:rFonts w:hint="eastAsia" w:ascii="华文仿宋" w:hAnsi="华文仿宋" w:eastAsia="华文仿宋" w:cs="华文仿宋"/>
                <w:b/>
                <w:bCs w:val="0"/>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
                <w:bCs w:val="0"/>
                <w:color w:val="auto"/>
                <w:kern w:val="0"/>
                <w:sz w:val="24"/>
                <w:szCs w:val="24"/>
              </w:rPr>
            </w:pPr>
            <w:r>
              <w:rPr>
                <w:rFonts w:hint="eastAsia" w:ascii="华文仿宋" w:hAnsi="华文仿宋" w:eastAsia="华文仿宋" w:cs="华文仿宋"/>
                <w:b/>
                <w:bCs w:val="0"/>
                <w:color w:val="auto"/>
                <w:kern w:val="0"/>
                <w:sz w:val="24"/>
                <w:szCs w:val="24"/>
              </w:rPr>
              <w:t>浮动管理费</w:t>
            </w:r>
            <w:r>
              <w:rPr>
                <w:rFonts w:hint="eastAsia" w:ascii="华文仿宋" w:hAnsi="华文仿宋" w:eastAsia="华文仿宋" w:cs="华文仿宋"/>
                <w:b/>
                <w:bCs w:val="0"/>
                <w:color w:val="auto"/>
                <w:kern w:val="0"/>
                <w:sz w:val="24"/>
                <w:szCs w:val="24"/>
                <w:lang w:eastAsia="zh-CN"/>
              </w:rPr>
              <w:t>收取</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在本</w:t>
            </w:r>
            <w:r>
              <w:rPr>
                <w:rFonts w:hint="eastAsia" w:ascii="华文仿宋" w:hAnsi="华文仿宋" w:eastAsia="华文仿宋" w:cs="华文仿宋"/>
                <w:b/>
                <w:bCs w:val="0"/>
                <w:color w:val="auto"/>
                <w:kern w:val="0"/>
                <w:sz w:val="24"/>
                <w:szCs w:val="24"/>
              </w:rPr>
              <w:t>产品到期日或提前终止日，剔除销售管理费、托管费、固定管理费以及产品</w:t>
            </w:r>
            <w:r>
              <w:rPr>
                <w:rFonts w:hint="eastAsia" w:ascii="华文仿宋" w:hAnsi="华文仿宋" w:eastAsia="华文仿宋" w:cs="华文仿宋"/>
                <w:b/>
                <w:bCs w:val="0"/>
                <w:color w:val="auto"/>
                <w:kern w:val="0"/>
                <w:sz w:val="24"/>
                <w:szCs w:val="24"/>
                <w:lang w:eastAsia="zh-CN"/>
              </w:rPr>
              <w:t>应承担</w:t>
            </w:r>
            <w:r>
              <w:rPr>
                <w:rFonts w:hint="eastAsia" w:ascii="华文仿宋" w:hAnsi="华文仿宋" w:eastAsia="华文仿宋" w:cs="华文仿宋"/>
                <w:b/>
                <w:bCs w:val="0"/>
                <w:color w:val="auto"/>
                <w:kern w:val="0"/>
                <w:sz w:val="24"/>
                <w:szCs w:val="24"/>
              </w:rPr>
              <w:t>的增值税</w:t>
            </w:r>
            <w:r>
              <w:rPr>
                <w:rFonts w:hint="eastAsia" w:ascii="华文仿宋" w:hAnsi="华文仿宋" w:eastAsia="华文仿宋" w:cs="华文仿宋"/>
                <w:b/>
                <w:bCs w:val="0"/>
                <w:color w:val="auto"/>
                <w:kern w:val="0"/>
                <w:sz w:val="24"/>
                <w:szCs w:val="24"/>
                <w:lang w:eastAsia="zh-CN"/>
              </w:rPr>
              <w:t>及其</w:t>
            </w:r>
            <w:r>
              <w:rPr>
                <w:rFonts w:hint="eastAsia" w:ascii="华文仿宋" w:hAnsi="华文仿宋" w:eastAsia="华文仿宋" w:cs="华文仿宋"/>
                <w:b/>
                <w:bCs w:val="0"/>
                <w:color w:val="auto"/>
                <w:kern w:val="0"/>
                <w:sz w:val="24"/>
                <w:szCs w:val="24"/>
              </w:rPr>
              <w:t>附加</w:t>
            </w:r>
            <w:r>
              <w:rPr>
                <w:rFonts w:hint="eastAsia" w:ascii="华文仿宋" w:hAnsi="华文仿宋" w:eastAsia="华文仿宋" w:cs="华文仿宋"/>
                <w:b/>
                <w:bCs w:val="0"/>
                <w:color w:val="auto"/>
                <w:kern w:val="0"/>
                <w:sz w:val="24"/>
                <w:szCs w:val="24"/>
                <w:lang w:eastAsia="zh-CN"/>
              </w:rPr>
              <w:t>等相关</w:t>
            </w:r>
            <w:r>
              <w:rPr>
                <w:rFonts w:hint="eastAsia" w:ascii="华文仿宋" w:hAnsi="华文仿宋" w:eastAsia="华文仿宋" w:cs="华文仿宋"/>
                <w:b/>
                <w:bCs w:val="0"/>
                <w:color w:val="auto"/>
                <w:kern w:val="0"/>
                <w:sz w:val="24"/>
                <w:szCs w:val="24"/>
              </w:rPr>
              <w:t>税费后</w:t>
            </w:r>
            <w:r>
              <w:rPr>
                <w:rFonts w:hint="eastAsia" w:ascii="华文仿宋" w:hAnsi="华文仿宋" w:eastAsia="华文仿宋" w:cs="华文仿宋"/>
                <w:b/>
                <w:bCs w:val="0"/>
                <w:color w:val="auto"/>
                <w:kern w:val="0"/>
                <w:sz w:val="24"/>
                <w:szCs w:val="24"/>
                <w:lang w:eastAsia="zh-CN"/>
              </w:rPr>
              <w:t>，若投资收益</w:t>
            </w:r>
            <w:r>
              <w:rPr>
                <w:rFonts w:hint="eastAsia" w:ascii="华文仿宋" w:hAnsi="华文仿宋" w:eastAsia="华文仿宋" w:cs="华文仿宋"/>
                <w:b/>
                <w:bCs w:val="0"/>
                <w:color w:val="auto"/>
                <w:kern w:val="0"/>
                <w:sz w:val="24"/>
                <w:szCs w:val="24"/>
              </w:rPr>
              <w:t>超过业绩比较基准</w:t>
            </w:r>
            <w:r>
              <w:rPr>
                <w:rFonts w:hint="eastAsia" w:ascii="华文仿宋" w:hAnsi="华文仿宋" w:eastAsia="华文仿宋" w:cs="华文仿宋"/>
                <w:b/>
                <w:bCs w:val="0"/>
                <w:color w:val="auto"/>
                <w:kern w:val="0"/>
                <w:sz w:val="24"/>
                <w:szCs w:val="24"/>
                <w:lang w:val="en-US" w:eastAsia="zh-CN"/>
              </w:rPr>
              <w:t>4.55</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，则超出</w:t>
            </w:r>
            <w:r>
              <w:rPr>
                <w:rFonts w:hint="eastAsia" w:ascii="华文仿宋" w:hAnsi="华文仿宋" w:eastAsia="华文仿宋" w:cs="华文仿宋"/>
                <w:b/>
                <w:bCs w:val="0"/>
                <w:color w:val="auto"/>
                <w:kern w:val="0"/>
                <w:sz w:val="24"/>
                <w:szCs w:val="24"/>
              </w:rPr>
              <w:t>部分</w:t>
            </w:r>
            <w:r>
              <w:rPr>
                <w:rFonts w:hint="eastAsia" w:ascii="华文仿宋" w:hAnsi="华文仿宋" w:eastAsia="华文仿宋" w:cs="华文仿宋"/>
                <w:b/>
                <w:bCs w:val="0"/>
                <w:color w:val="auto"/>
                <w:kern w:val="0"/>
                <w:sz w:val="24"/>
                <w:szCs w:val="24"/>
                <w:lang w:eastAsia="zh-CN"/>
              </w:rPr>
              <w:t>均作为</w:t>
            </w:r>
            <w:r>
              <w:rPr>
                <w:rFonts w:hint="eastAsia" w:ascii="华文仿宋" w:hAnsi="华文仿宋" w:eastAsia="华文仿宋" w:cs="华文仿宋"/>
                <w:b/>
                <w:bCs w:val="0"/>
                <w:color w:val="auto"/>
                <w:kern w:val="0"/>
                <w:sz w:val="24"/>
                <w:szCs w:val="24"/>
              </w:rPr>
              <w:t>管理人</w:t>
            </w:r>
            <w:r>
              <w:rPr>
                <w:rFonts w:hint="eastAsia" w:ascii="华文仿宋" w:hAnsi="华文仿宋" w:eastAsia="华文仿宋" w:cs="华文仿宋"/>
                <w:b/>
                <w:bCs w:val="0"/>
                <w:color w:val="auto"/>
                <w:kern w:val="0"/>
                <w:sz w:val="24"/>
                <w:szCs w:val="24"/>
                <w:lang w:eastAsia="zh-CN"/>
              </w:rPr>
              <w:t>浮动管理费收取</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如</w:t>
            </w:r>
            <w:r>
              <w:rPr>
                <w:rFonts w:hint="eastAsia" w:ascii="华文仿宋" w:hAnsi="华文仿宋" w:eastAsia="华文仿宋" w:cs="华文仿宋"/>
                <w:b/>
                <w:bCs w:val="0"/>
                <w:color w:val="auto"/>
                <w:kern w:val="0"/>
                <w:sz w:val="24"/>
                <w:szCs w:val="24"/>
              </w:rPr>
              <w:t>低于业绩比较基准</w:t>
            </w:r>
            <w:r>
              <w:rPr>
                <w:rFonts w:hint="eastAsia" w:ascii="华文仿宋" w:hAnsi="华文仿宋" w:eastAsia="华文仿宋" w:cs="华文仿宋"/>
                <w:b/>
                <w:bCs w:val="0"/>
                <w:color w:val="auto"/>
                <w:kern w:val="0"/>
                <w:sz w:val="24"/>
                <w:szCs w:val="24"/>
                <w:lang w:val="en-US" w:eastAsia="zh-CN"/>
              </w:rPr>
              <w:t>4.55</w:t>
            </w:r>
            <w:r>
              <w:rPr>
                <w:rFonts w:hint="eastAsia" w:ascii="华文仿宋" w:hAnsi="华文仿宋" w:eastAsia="华文仿宋" w:cs="华文仿宋"/>
                <w:b/>
                <w:bCs w:val="0"/>
                <w:color w:val="auto"/>
                <w:kern w:val="0"/>
                <w:sz w:val="24"/>
                <w:szCs w:val="24"/>
              </w:rPr>
              <w:t>%(含)</w:t>
            </w:r>
            <w:r>
              <w:rPr>
                <w:rFonts w:hint="eastAsia" w:ascii="华文仿宋" w:hAnsi="华文仿宋" w:eastAsia="华文仿宋" w:cs="华文仿宋"/>
                <w:b/>
                <w:bCs w:val="0"/>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color w:val="auto"/>
                <w:kern w:val="0"/>
                <w:sz w:val="24"/>
                <w:szCs w:val="24"/>
              </w:rPr>
              <w:t>本产品运作和清算中产生的其他资金汇划费、结算费、交易手续费、注册</w:t>
            </w:r>
            <w:r>
              <w:rPr>
                <w:rFonts w:hint="eastAsia" w:ascii="华文仿宋" w:hAnsi="华文仿宋" w:eastAsia="华文仿宋" w:cs="华文仿宋"/>
                <w:b/>
                <w:bCs w:val="0"/>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color w:val="000000"/>
                <w:kern w:val="0"/>
                <w:sz w:val="24"/>
                <w:szCs w:val="24"/>
              </w:rPr>
              <w:t>4.</w:t>
            </w:r>
            <w:r>
              <w:rPr>
                <w:rFonts w:hint="eastAsia" w:ascii="华文仿宋" w:hAnsi="华文仿宋" w:eastAsia="华文仿宋" w:cs="华文仿宋"/>
                <w:b/>
                <w:bCs w:val="0"/>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
                <w:bCs w:val="0"/>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提前终止权</w:t>
            </w:r>
          </w:p>
        </w:tc>
        <w:tc>
          <w:tcPr>
            <w:tcW w:w="8048" w:type="dxa"/>
            <w:vAlign w:val="center"/>
          </w:tcPr>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对账单</w:t>
            </w:r>
          </w:p>
        </w:tc>
        <w:tc>
          <w:tcPr>
            <w:tcW w:w="8048" w:type="dxa"/>
            <w:vAlign w:val="center"/>
          </w:tcPr>
          <w:p>
            <w:pPr>
              <w:spacing w:line="400" w:lineRule="exact"/>
              <w:jc w:val="left"/>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投资人同意通过新疆银行官方网站（</w:t>
            </w:r>
            <w:r>
              <w:rPr>
                <w:rFonts w:hint="eastAsia" w:ascii="华文仿宋" w:hAnsi="华文仿宋" w:eastAsia="华文仿宋" w:cs="华文仿宋"/>
                <w:b/>
                <w:bCs w:val="0"/>
                <w:kern w:val="0"/>
                <w:sz w:val="24"/>
                <w:szCs w:val="24"/>
              </w:rPr>
              <w:fldChar w:fldCharType="begin"/>
            </w:r>
            <w:r>
              <w:rPr>
                <w:rFonts w:hint="eastAsia" w:ascii="华文仿宋" w:hAnsi="华文仿宋" w:eastAsia="华文仿宋" w:cs="华文仿宋"/>
                <w:b/>
                <w:bCs w:val="0"/>
                <w:kern w:val="0"/>
                <w:sz w:val="24"/>
                <w:szCs w:val="24"/>
              </w:rPr>
              <w:instrText xml:space="preserve"> HYPERLINK "http://www.xjbank.com/" \h </w:instrText>
            </w:r>
            <w:r>
              <w:rPr>
                <w:rFonts w:hint="eastAsia" w:ascii="华文仿宋" w:hAnsi="华文仿宋" w:eastAsia="华文仿宋" w:cs="华文仿宋"/>
                <w:b/>
                <w:bCs w:val="0"/>
                <w:kern w:val="0"/>
                <w:sz w:val="24"/>
                <w:szCs w:val="24"/>
              </w:rPr>
              <w:fldChar w:fldCharType="separate"/>
            </w:r>
            <w:r>
              <w:rPr>
                <w:rFonts w:hint="eastAsia" w:ascii="华文仿宋" w:hAnsi="华文仿宋" w:eastAsia="华文仿宋" w:cs="华文仿宋"/>
                <w:b/>
                <w:bCs w:val="0"/>
                <w:kern w:val="0"/>
                <w:sz w:val="24"/>
                <w:szCs w:val="24"/>
              </w:rPr>
              <w:t>www.xjbank.com</w:t>
            </w:r>
            <w:r>
              <w:rPr>
                <w:rFonts w:hint="eastAsia" w:ascii="华文仿宋" w:hAnsi="华文仿宋" w:eastAsia="华文仿宋" w:cs="华文仿宋"/>
                <w:b/>
                <w:bCs w:val="0"/>
                <w:kern w:val="0"/>
                <w:sz w:val="24"/>
                <w:szCs w:val="24"/>
              </w:rPr>
              <w:fldChar w:fldCharType="end"/>
            </w:r>
            <w:r>
              <w:rPr>
                <w:rFonts w:hint="eastAsia" w:ascii="华文仿宋" w:hAnsi="华文仿宋" w:eastAsia="华文仿宋" w:cs="华文仿宋"/>
                <w:b/>
                <w:bCs w:val="0"/>
                <w:kern w:val="0"/>
                <w:sz w:val="24"/>
                <w:szCs w:val="24"/>
              </w:rPr>
              <w:t>）、新疆银行官方微信</w:t>
            </w:r>
            <w:r>
              <w:rPr>
                <w:rFonts w:hint="eastAsia" w:ascii="华文仿宋" w:hAnsi="华文仿宋" w:eastAsia="华文仿宋" w:cs="华文仿宋"/>
                <w:b/>
                <w:bCs w:val="0"/>
                <w:kern w:val="0"/>
                <w:sz w:val="24"/>
                <w:szCs w:val="24"/>
                <w:lang w:eastAsia="zh-CN"/>
              </w:rPr>
              <w:t>或</w:t>
            </w:r>
            <w:r>
              <w:rPr>
                <w:rFonts w:hint="eastAsia" w:ascii="华文仿宋" w:hAnsi="华文仿宋" w:eastAsia="华文仿宋" w:cs="华文仿宋"/>
                <w:b/>
                <w:bCs w:val="0"/>
                <w:kern w:val="0"/>
                <w:sz w:val="24"/>
                <w:szCs w:val="24"/>
              </w:rPr>
              <w:t>相关</w:t>
            </w:r>
            <w:r>
              <w:rPr>
                <w:rFonts w:hint="eastAsia" w:ascii="华文仿宋" w:hAnsi="华文仿宋" w:eastAsia="华文仿宋" w:cs="华文仿宋"/>
                <w:b/>
                <w:bCs w:val="0"/>
                <w:kern w:val="0"/>
                <w:sz w:val="24"/>
                <w:szCs w:val="24"/>
                <w:lang w:eastAsia="zh-CN"/>
              </w:rPr>
              <w:t>电子渠道及</w:t>
            </w:r>
            <w:r>
              <w:rPr>
                <w:rFonts w:hint="eastAsia" w:ascii="华文仿宋" w:hAnsi="华文仿宋" w:eastAsia="华文仿宋" w:cs="华文仿宋"/>
                <w:b/>
                <w:bCs w:val="0"/>
                <w:kern w:val="0"/>
                <w:sz w:val="24"/>
                <w:szCs w:val="24"/>
              </w:rPr>
              <w:t>营业网点及时了解</w:t>
            </w:r>
            <w:r>
              <w:rPr>
                <w:rFonts w:hint="eastAsia" w:ascii="华文仿宋" w:hAnsi="华文仿宋" w:eastAsia="华文仿宋" w:cs="华文仿宋"/>
                <w:b/>
                <w:bCs w:val="0"/>
                <w:kern w:val="0"/>
                <w:sz w:val="24"/>
                <w:szCs w:val="24"/>
                <w:lang w:eastAsia="zh-CN"/>
              </w:rPr>
              <w:t>产品</w:t>
            </w:r>
            <w:r>
              <w:rPr>
                <w:rFonts w:hint="eastAsia" w:ascii="华文仿宋" w:hAnsi="华文仿宋" w:eastAsia="华文仿宋" w:cs="华文仿宋"/>
                <w:b/>
                <w:bCs w:val="0"/>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w:t>
            </w:r>
            <w:r>
              <w:rPr>
                <w:rFonts w:hint="eastAsia" w:ascii="华文仿宋" w:hAnsi="华文仿宋" w:eastAsia="华文仿宋" w:cs="华文仿宋"/>
                <w:bCs/>
                <w:kern w:val="0"/>
                <w:sz w:val="24"/>
                <w:szCs w:val="24"/>
                <w:lang w:eastAsia="zh-CN"/>
              </w:rPr>
              <w:t>成功</w:t>
            </w:r>
            <w:r>
              <w:rPr>
                <w:rFonts w:hint="eastAsia" w:ascii="华文仿宋" w:hAnsi="华文仿宋" w:eastAsia="华文仿宋" w:cs="华文仿宋"/>
                <w:bCs/>
                <w:kern w:val="0"/>
                <w:sz w:val="24"/>
                <w:szCs w:val="24"/>
              </w:rPr>
              <w:t>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营业网点■、网上银行□、手机银行□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固定收益类资产：包括但不限于国债、中央银行票据、同业存单、金融债、企业债、公司债、中期票据、短期融资券、超短期融资券、定向债务融资工具（PPN）、资产支持证券、资产支持票据(ABN）、</w:t>
      </w:r>
      <w:r>
        <w:rPr>
          <w:rFonts w:hint="eastAsia" w:ascii="华文仿宋" w:hAnsi="华文仿宋" w:eastAsia="华文仿宋" w:cs="华文仿宋"/>
          <w:kern w:val="0"/>
          <w:sz w:val="24"/>
          <w:szCs w:val="24"/>
          <w:lang w:eastAsia="zh-CN"/>
        </w:rPr>
        <w:t>同业借款</w:t>
      </w:r>
      <w:r>
        <w:rPr>
          <w:rFonts w:hint="eastAsia" w:ascii="华文仿宋" w:hAnsi="华文仿宋" w:eastAsia="华文仿宋" w:cs="华文仿宋"/>
          <w:kern w:val="0"/>
          <w:sz w:val="24"/>
          <w:szCs w:val="24"/>
        </w:rPr>
        <w:t>及底层资产为上述资产的各类资管计划、</w:t>
      </w:r>
      <w:r>
        <w:rPr>
          <w:rFonts w:hint="eastAsia" w:ascii="华文仿宋" w:hAnsi="华文仿宋" w:eastAsia="华文仿宋" w:cs="华文仿宋"/>
          <w:kern w:val="0"/>
          <w:sz w:val="24"/>
          <w:szCs w:val="24"/>
          <w:lang w:eastAsia="zh-CN"/>
        </w:rPr>
        <w:t>信托计划</w:t>
      </w:r>
      <w:r>
        <w:rPr>
          <w:rFonts w:hint="eastAsia" w:ascii="华文仿宋" w:hAnsi="华文仿宋" w:eastAsia="华文仿宋" w:cs="华文仿宋"/>
          <w:kern w:val="0"/>
          <w:sz w:val="24"/>
          <w:szCs w:val="24"/>
        </w:rPr>
        <w:t>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0"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黑体" w:hAnsi="黑体" w:eastAsia="黑体" w:cs="黑体"/>
          <w:b/>
          <w:bCs/>
          <w:color w:val="000000"/>
          <w:kern w:val="0"/>
          <w:sz w:val="24"/>
          <w:szCs w:val="24"/>
        </w:rPr>
        <w:t>  （测算收益不等于实际收益，投资须谨慎）</w:t>
      </w:r>
    </w:p>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0" w:firstLineChars="200"/>
        <w:jc w:val="left"/>
        <w:rPr>
          <w:rFonts w:ascii="华文仿宋" w:hAnsi="华文仿宋" w:eastAsia="华文仿宋" w:cs="华文仿宋"/>
          <w:bCs/>
          <w:color w:val="000000"/>
          <w:kern w:val="0"/>
          <w:sz w:val="24"/>
          <w:szCs w:val="24"/>
          <w:lang w:val="en-US" w:eastAsia="zh-CN" w:bidi="ar"/>
        </w:rPr>
      </w:pPr>
      <w:r>
        <w:rPr>
          <w:rStyle w:val="9"/>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9"/>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pPr>
      <w:r>
        <w:rPr>
          <w:rStyle w:val="9"/>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0" w:firstLineChars="200"/>
        <w:jc w:val="left"/>
        <w:rPr>
          <w:rStyle w:val="9"/>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altName w:val="黑体"/>
    <w:panose1 w:val="02010601030101010101"/>
    <w:charset w:val="86"/>
    <w:family w:val="auto"/>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9"/>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081"/>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517"/>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1B16457"/>
    <w:rsid w:val="02E02747"/>
    <w:rsid w:val="04AF546C"/>
    <w:rsid w:val="05F9618D"/>
    <w:rsid w:val="0617674F"/>
    <w:rsid w:val="0625104E"/>
    <w:rsid w:val="06AA54B4"/>
    <w:rsid w:val="07D02ED2"/>
    <w:rsid w:val="07ED13D0"/>
    <w:rsid w:val="084B4A25"/>
    <w:rsid w:val="089C31E9"/>
    <w:rsid w:val="0A2C2EA4"/>
    <w:rsid w:val="0A8D7997"/>
    <w:rsid w:val="0DCC06A1"/>
    <w:rsid w:val="0DDC7649"/>
    <w:rsid w:val="0E8F6CE4"/>
    <w:rsid w:val="0E977CAD"/>
    <w:rsid w:val="0F2922A6"/>
    <w:rsid w:val="0F344F29"/>
    <w:rsid w:val="0F833DB6"/>
    <w:rsid w:val="114335AE"/>
    <w:rsid w:val="12295BA1"/>
    <w:rsid w:val="13BB3D97"/>
    <w:rsid w:val="14F67A5E"/>
    <w:rsid w:val="150B39CF"/>
    <w:rsid w:val="15825E96"/>
    <w:rsid w:val="158B366C"/>
    <w:rsid w:val="15D266DB"/>
    <w:rsid w:val="166528F4"/>
    <w:rsid w:val="175853D3"/>
    <w:rsid w:val="18307F10"/>
    <w:rsid w:val="19617D23"/>
    <w:rsid w:val="19EA4E16"/>
    <w:rsid w:val="1B1F7006"/>
    <w:rsid w:val="1B74754D"/>
    <w:rsid w:val="1B8B56DD"/>
    <w:rsid w:val="1BFE7181"/>
    <w:rsid w:val="1C4E0F77"/>
    <w:rsid w:val="1CFB3A9C"/>
    <w:rsid w:val="1D192D6F"/>
    <w:rsid w:val="1D87770E"/>
    <w:rsid w:val="1FBA04FB"/>
    <w:rsid w:val="207C11C5"/>
    <w:rsid w:val="20A37721"/>
    <w:rsid w:val="219B0D2E"/>
    <w:rsid w:val="21D92FB0"/>
    <w:rsid w:val="222962DC"/>
    <w:rsid w:val="22BC6D50"/>
    <w:rsid w:val="23334923"/>
    <w:rsid w:val="24730B3D"/>
    <w:rsid w:val="26732104"/>
    <w:rsid w:val="267A2E2F"/>
    <w:rsid w:val="271B79CF"/>
    <w:rsid w:val="282E437B"/>
    <w:rsid w:val="288365F6"/>
    <w:rsid w:val="28A4399C"/>
    <w:rsid w:val="292A75D2"/>
    <w:rsid w:val="29680EBF"/>
    <w:rsid w:val="296C7454"/>
    <w:rsid w:val="29AB6CFA"/>
    <w:rsid w:val="29C0055D"/>
    <w:rsid w:val="2C240D9D"/>
    <w:rsid w:val="2C35520A"/>
    <w:rsid w:val="2D213277"/>
    <w:rsid w:val="2EC47150"/>
    <w:rsid w:val="2EF04DAC"/>
    <w:rsid w:val="2F41330F"/>
    <w:rsid w:val="2FB06FC7"/>
    <w:rsid w:val="2FC70831"/>
    <w:rsid w:val="3042169D"/>
    <w:rsid w:val="315437AD"/>
    <w:rsid w:val="33523587"/>
    <w:rsid w:val="33A47907"/>
    <w:rsid w:val="345606AB"/>
    <w:rsid w:val="36872AFD"/>
    <w:rsid w:val="37014554"/>
    <w:rsid w:val="370234D1"/>
    <w:rsid w:val="38596AB4"/>
    <w:rsid w:val="38C75ACE"/>
    <w:rsid w:val="3A332045"/>
    <w:rsid w:val="3A7D3C24"/>
    <w:rsid w:val="3AA376C1"/>
    <w:rsid w:val="3ACE178E"/>
    <w:rsid w:val="3B6E4155"/>
    <w:rsid w:val="3BC03386"/>
    <w:rsid w:val="3D4C494C"/>
    <w:rsid w:val="3DFC5C2C"/>
    <w:rsid w:val="3E8A3700"/>
    <w:rsid w:val="3F0A535E"/>
    <w:rsid w:val="3F2040FB"/>
    <w:rsid w:val="3F3A100C"/>
    <w:rsid w:val="409C44FE"/>
    <w:rsid w:val="43121CF7"/>
    <w:rsid w:val="43502D1F"/>
    <w:rsid w:val="436E4DEB"/>
    <w:rsid w:val="43B6405B"/>
    <w:rsid w:val="446C0B8E"/>
    <w:rsid w:val="45F45948"/>
    <w:rsid w:val="47273A5C"/>
    <w:rsid w:val="47837790"/>
    <w:rsid w:val="47F62C3A"/>
    <w:rsid w:val="48122FCB"/>
    <w:rsid w:val="48637E07"/>
    <w:rsid w:val="48C41F58"/>
    <w:rsid w:val="48DB283B"/>
    <w:rsid w:val="4AA573FB"/>
    <w:rsid w:val="4AA84823"/>
    <w:rsid w:val="4B2E687E"/>
    <w:rsid w:val="4C7F635C"/>
    <w:rsid w:val="4D5765AE"/>
    <w:rsid w:val="4EB01BED"/>
    <w:rsid w:val="4F312243"/>
    <w:rsid w:val="4FDE62B9"/>
    <w:rsid w:val="50063C66"/>
    <w:rsid w:val="516F688F"/>
    <w:rsid w:val="517A1B21"/>
    <w:rsid w:val="51F40E94"/>
    <w:rsid w:val="529E0394"/>
    <w:rsid w:val="52BE53F9"/>
    <w:rsid w:val="535A4665"/>
    <w:rsid w:val="5551492F"/>
    <w:rsid w:val="555F7C7F"/>
    <w:rsid w:val="557C3BE9"/>
    <w:rsid w:val="55C86401"/>
    <w:rsid w:val="56E03574"/>
    <w:rsid w:val="57692472"/>
    <w:rsid w:val="577D4768"/>
    <w:rsid w:val="57E86B41"/>
    <w:rsid w:val="58D4118F"/>
    <w:rsid w:val="59214BFC"/>
    <w:rsid w:val="5A2E5C18"/>
    <w:rsid w:val="5A3A65B9"/>
    <w:rsid w:val="5B19105A"/>
    <w:rsid w:val="5BA85F91"/>
    <w:rsid w:val="5C631025"/>
    <w:rsid w:val="5F06242E"/>
    <w:rsid w:val="60435A24"/>
    <w:rsid w:val="6099040F"/>
    <w:rsid w:val="60D12938"/>
    <w:rsid w:val="613B4D2D"/>
    <w:rsid w:val="617C4169"/>
    <w:rsid w:val="63B2608C"/>
    <w:rsid w:val="650134AF"/>
    <w:rsid w:val="650830F4"/>
    <w:rsid w:val="655D0910"/>
    <w:rsid w:val="6640080E"/>
    <w:rsid w:val="66437D7B"/>
    <w:rsid w:val="66915AAB"/>
    <w:rsid w:val="68107BBA"/>
    <w:rsid w:val="69B97D18"/>
    <w:rsid w:val="6B7F4BCE"/>
    <w:rsid w:val="6C171954"/>
    <w:rsid w:val="6C5756BF"/>
    <w:rsid w:val="6CBE5BCF"/>
    <w:rsid w:val="6CCF4037"/>
    <w:rsid w:val="6D60040F"/>
    <w:rsid w:val="6D9846CE"/>
    <w:rsid w:val="6DC310D5"/>
    <w:rsid w:val="6DE82EF3"/>
    <w:rsid w:val="6DF36C1C"/>
    <w:rsid w:val="6EF3563C"/>
    <w:rsid w:val="703C2EBA"/>
    <w:rsid w:val="71847892"/>
    <w:rsid w:val="71961F41"/>
    <w:rsid w:val="71D81222"/>
    <w:rsid w:val="72D23886"/>
    <w:rsid w:val="755906BF"/>
    <w:rsid w:val="75B25B27"/>
    <w:rsid w:val="76C4060C"/>
    <w:rsid w:val="76EB0BCD"/>
    <w:rsid w:val="77692B6F"/>
    <w:rsid w:val="77D20A1E"/>
    <w:rsid w:val="793244EC"/>
    <w:rsid w:val="79C3307F"/>
    <w:rsid w:val="79E1288F"/>
    <w:rsid w:val="79E85951"/>
    <w:rsid w:val="7A18075E"/>
    <w:rsid w:val="7CAB3AE1"/>
    <w:rsid w:val="7CE36EC9"/>
    <w:rsid w:val="7D0C1DD9"/>
    <w:rsid w:val="7D265270"/>
    <w:rsid w:val="7D7F45E5"/>
    <w:rsid w:val="7E5F744D"/>
    <w:rsid w:val="7EB1250B"/>
    <w:rsid w:val="7F393C3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styleId="10">
    <w:name w:val="Hyperlink"/>
    <w:basedOn w:val="8"/>
    <w:unhideWhenUsed/>
    <w:qFormat/>
    <w:uiPriority w:val="99"/>
    <w:rPr>
      <w:color w:val="0000FF"/>
      <w:u w:val="single"/>
    </w:rPr>
  </w:style>
  <w:style w:type="character" w:customStyle="1" w:styleId="11">
    <w:name w:val="页眉 Char"/>
    <w:basedOn w:val="8"/>
    <w:link w:val="4"/>
    <w:semiHidden/>
    <w:qFormat/>
    <w:uiPriority w:val="99"/>
    <w:rPr>
      <w:rFonts w:ascii="Times New Roman" w:hAnsi="Times New Roman"/>
      <w:sz w:val="18"/>
      <w:szCs w:val="18"/>
    </w:rPr>
  </w:style>
  <w:style w:type="character" w:customStyle="1" w:styleId="12">
    <w:name w:val="页脚 Char"/>
    <w:basedOn w:val="8"/>
    <w:link w:val="3"/>
    <w:qFormat/>
    <w:uiPriority w:val="99"/>
    <w:rPr>
      <w:rFonts w:ascii="Times New Roman" w:hAnsi="Times New Roman"/>
      <w:sz w:val="18"/>
      <w:szCs w:val="18"/>
    </w:rPr>
  </w:style>
  <w:style w:type="character" w:customStyle="1" w:styleId="13">
    <w:name w:val="fontstyle01"/>
    <w:basedOn w:val="8"/>
    <w:qFormat/>
    <w:uiPriority w:val="0"/>
    <w:rPr>
      <w:rFonts w:hint="eastAsia" w:ascii="宋体" w:hAnsi="宋体" w:eastAsia="宋体" w:cs="宋体"/>
      <w:color w:val="000000"/>
      <w:sz w:val="22"/>
      <w:szCs w:val="22"/>
    </w:rPr>
  </w:style>
  <w:style w:type="character" w:customStyle="1" w:styleId="14">
    <w:name w:val="fontstyle11"/>
    <w:basedOn w:val="8"/>
    <w:qFormat/>
    <w:uiPriority w:val="0"/>
    <w:rPr>
      <w:rFonts w:ascii="仿宋" w:hAnsi="仿宋" w:eastAsia="仿宋" w:cs="仿宋"/>
      <w:color w:val="000000"/>
      <w:sz w:val="22"/>
      <w:szCs w:val="22"/>
    </w:rPr>
  </w:style>
  <w:style w:type="character" w:customStyle="1" w:styleId="15">
    <w:name w:val="批注框文本 Char"/>
    <w:basedOn w:val="8"/>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5176</Words>
  <Characters>5692</Characters>
  <Lines>44</Lines>
  <Paragraphs>12</Paragraphs>
  <TotalTime>27</TotalTime>
  <ScaleCrop>false</ScaleCrop>
  <LinksUpToDate>false</LinksUpToDate>
  <CharactersWithSpaces>5810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zzsx</cp:lastModifiedBy>
  <cp:lastPrinted>2019-08-14T06:11:00Z</cp:lastPrinted>
  <dcterms:modified xsi:type="dcterms:W3CDTF">2021-01-29T08:48:16Z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