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bookmarkStart w:id="0" w:name="_GoBack"/>
      <w:bookmarkEnd w:id="0"/>
    </w:p>
    <w:p>
      <w:pPr>
        <w:spacing w:line="360" w:lineRule="auto"/>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w:t>
      </w:r>
      <w:r>
        <w:rPr>
          <w:rStyle w:val="9"/>
          <w:rFonts w:hint="eastAsia" w:ascii="黑体" w:hAnsi="黑体" w:eastAsia="黑体" w:cs="黑体"/>
          <w:kern w:val="0"/>
          <w:sz w:val="28"/>
          <w:szCs w:val="28"/>
          <w:lang w:eastAsia="zh-CN"/>
        </w:rPr>
        <w:t>机构理财</w:t>
      </w:r>
      <w:r>
        <w:rPr>
          <w:rStyle w:val="9"/>
          <w:rFonts w:hint="eastAsia" w:ascii="黑体" w:hAnsi="黑体" w:eastAsia="黑体" w:cs="黑体"/>
          <w:kern w:val="0"/>
          <w:sz w:val="28"/>
          <w:szCs w:val="28"/>
        </w:rPr>
        <w:t>客户权益须知</w:t>
      </w:r>
    </w:p>
    <w:p>
      <w:pPr>
        <w:spacing w:line="360" w:lineRule="auto"/>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auto"/>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1018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spacing w:line="360" w:lineRule="exact"/>
              <w:ind w:firstLine="480" w:firstLineChars="200"/>
              <w:rPr>
                <w:rFonts w:hint="eastAsia" w:ascii="华文仿宋" w:hAnsi="华文仿宋" w:eastAsia="华文仿宋"/>
                <w:sz w:val="24"/>
                <w:szCs w:val="24"/>
                <w:lang w:eastAsia="zh-CN"/>
              </w:rPr>
            </w:pPr>
            <w:r>
              <w:rPr>
                <w:rFonts w:ascii="华文仿宋" w:hAnsi="华文仿宋" w:eastAsia="华文仿宋"/>
                <w:b/>
                <w:sz w:val="24"/>
                <w:szCs w:val="24"/>
              </w:rPr>
              <w:t>1</w:t>
            </w:r>
            <w:r>
              <w:rPr>
                <w:rFonts w:hint="eastAsia" w:ascii="华文仿宋" w:hAnsi="华文仿宋" w:eastAsia="华文仿宋"/>
                <w:b/>
                <w:sz w:val="24"/>
                <w:szCs w:val="24"/>
              </w:rPr>
              <w:t>.开立账户：</w:t>
            </w:r>
            <w:r>
              <w:rPr>
                <w:rFonts w:hint="eastAsia" w:ascii="华文仿宋" w:hAnsi="华文仿宋" w:eastAsia="华文仿宋"/>
                <w:sz w:val="24"/>
                <w:szCs w:val="24"/>
              </w:rPr>
              <w:t>机构投资者</w:t>
            </w:r>
            <w:r>
              <w:rPr>
                <w:rFonts w:hint="eastAsia" w:ascii="华文仿宋" w:hAnsi="华文仿宋" w:eastAsia="华文仿宋"/>
                <w:sz w:val="24"/>
                <w:szCs w:val="24"/>
                <w:lang w:eastAsia="zh-CN"/>
              </w:rPr>
              <w:t>可</w:t>
            </w:r>
            <w:r>
              <w:rPr>
                <w:rFonts w:hint="eastAsia" w:ascii="华文仿宋" w:hAnsi="华文仿宋" w:eastAsia="华文仿宋"/>
                <w:sz w:val="24"/>
                <w:szCs w:val="24"/>
              </w:rPr>
              <w:t>先开立可投资账户</w:t>
            </w:r>
            <w:r>
              <w:rPr>
                <w:rFonts w:hint="eastAsia" w:ascii="华文仿宋" w:hAnsi="华文仿宋" w:eastAsia="华文仿宋"/>
                <w:sz w:val="24"/>
                <w:szCs w:val="24"/>
                <w:lang w:eastAsia="zh-CN"/>
              </w:rPr>
              <w:t>，同业客户除外。</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w:t>
            </w:r>
            <w:r>
              <w:rPr>
                <w:rFonts w:hint="eastAsia" w:ascii="华文仿宋" w:hAnsi="华文仿宋" w:eastAsia="华文仿宋"/>
                <w:sz w:val="24"/>
                <w:szCs w:val="24"/>
                <w:highlight w:val="none"/>
                <w:lang w:eastAsia="zh-CN"/>
              </w:rPr>
              <w:t>账户或双方约定账户信息</w:t>
            </w:r>
            <w:r>
              <w:rPr>
                <w:rFonts w:hint="eastAsia" w:ascii="华文仿宋" w:hAnsi="华文仿宋" w:eastAsia="华文仿宋"/>
                <w:sz w:val="24"/>
                <w:szCs w:val="24"/>
                <w:highlight w:val="none"/>
              </w:rPr>
              <w:t>作为清算账户，用于理财本金及收益等款项的收付。</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b/>
                <w:sz w:val="24"/>
                <w:szCs w:val="24"/>
                <w:highlight w:val="none"/>
              </w:rPr>
              <w:t>3.签署相关协议：</w:t>
            </w:r>
            <w:r>
              <w:rPr>
                <w:rFonts w:hint="eastAsia" w:ascii="华文仿宋" w:hAnsi="华文仿宋" w:eastAsia="华文仿宋"/>
                <w:sz w:val="24"/>
                <w:szCs w:val="24"/>
                <w:highlight w:val="none"/>
              </w:rPr>
              <w:t>投资者应签署《新疆银行理财产品协议书》等相关协议文本</w:t>
            </w:r>
          </w:p>
          <w:p>
            <w:pPr>
              <w:spacing w:line="360" w:lineRule="exact"/>
              <w:ind w:firstLine="480" w:firstLineChars="200"/>
              <w:rPr>
                <w:rFonts w:ascii="华文仿宋" w:hAnsi="华文仿宋" w:eastAsia="华文仿宋"/>
                <w:b/>
                <w:sz w:val="24"/>
                <w:szCs w:val="24"/>
                <w:highlight w:val="none"/>
              </w:rPr>
            </w:pPr>
            <w:r>
              <w:rPr>
                <w:rFonts w:hint="eastAsia" w:ascii="华文仿宋" w:hAnsi="华文仿宋" w:eastAsia="华文仿宋"/>
                <w:b/>
                <w:sz w:val="24"/>
                <w:szCs w:val="24"/>
                <w:highlight w:val="none"/>
              </w:rPr>
              <w:t>4.各交易渠道业务委托：</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sz w:val="24"/>
                <w:szCs w:val="24"/>
                <w:highlight w:val="none"/>
              </w:rPr>
              <w:t>（1）网点柜面</w:t>
            </w:r>
          </w:p>
          <w:p>
            <w:pPr>
              <w:spacing w:line="360" w:lineRule="exact"/>
              <w:ind w:firstLine="570"/>
              <w:rPr>
                <w:rFonts w:ascii="华文仿宋" w:hAnsi="华文仿宋" w:eastAsia="华文仿宋"/>
                <w:sz w:val="24"/>
                <w:szCs w:val="24"/>
                <w:highlight w:val="none"/>
              </w:rPr>
            </w:pPr>
            <w:r>
              <w:rPr>
                <w:rFonts w:hint="eastAsia" w:ascii="华文仿宋" w:hAnsi="华文仿宋" w:eastAsia="华文仿宋"/>
                <w:sz w:val="24"/>
                <w:szCs w:val="24"/>
                <w:highlight w:val="none"/>
              </w:rPr>
              <w:t>机构投资者需提供：</w:t>
            </w:r>
          </w:p>
          <w:p>
            <w:pPr>
              <w:spacing w:line="360" w:lineRule="exact"/>
              <w:ind w:firstLine="570"/>
              <w:rPr>
                <w:rFonts w:hint="eastAsia" w:ascii="华文仿宋" w:hAnsi="华文仿宋" w:eastAsia="华文仿宋"/>
                <w:sz w:val="24"/>
                <w:szCs w:val="24"/>
                <w:highlight w:val="none"/>
                <w:lang w:eastAsia="zh-CN"/>
              </w:rPr>
            </w:pPr>
            <w:r>
              <w:rPr>
                <w:rFonts w:hint="eastAsia" w:ascii="华文仿宋" w:hAnsi="华文仿宋" w:eastAsia="华文仿宋"/>
                <w:sz w:val="24"/>
                <w:szCs w:val="24"/>
                <w:highlight w:val="none"/>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w:t>
            </w:r>
            <w:r>
              <w:rPr>
                <w:rFonts w:hint="eastAsia" w:ascii="华文仿宋" w:hAnsi="华文仿宋" w:eastAsia="华文仿宋"/>
                <w:sz w:val="24"/>
                <w:szCs w:val="24"/>
                <w:highlight w:val="none"/>
                <w:lang w:eastAsia="zh-CN"/>
              </w:rPr>
              <w:t>如已开户</w:t>
            </w:r>
            <w:r>
              <w:rPr>
                <w:rFonts w:hint="eastAsia" w:ascii="华文仿宋" w:hAnsi="华文仿宋" w:eastAsia="华文仿宋"/>
                <w:sz w:val="24"/>
                <w:szCs w:val="24"/>
                <w:highlight w:val="none"/>
              </w:rPr>
              <w:t>只能在其账户开户营业机构办理</w:t>
            </w:r>
            <w:r>
              <w:rPr>
                <w:rFonts w:hint="eastAsia" w:ascii="华文仿宋" w:hAnsi="华文仿宋" w:eastAsia="华文仿宋"/>
                <w:sz w:val="24"/>
                <w:szCs w:val="24"/>
                <w:highlight w:val="none"/>
                <w:lang w:eastAsia="zh-CN"/>
              </w:rPr>
              <w:t>。</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5.</w:t>
            </w:r>
            <w:r>
              <w:rPr>
                <w:rFonts w:hint="eastAsia" w:ascii="华文仿宋" w:hAnsi="华文仿宋" w:eastAsia="华文仿宋"/>
                <w:b/>
                <w:sz w:val="24"/>
                <w:szCs w:val="24"/>
              </w:rPr>
              <w:t>查询：</w:t>
            </w:r>
            <w:r>
              <w:rPr>
                <w:rFonts w:hint="eastAsia" w:ascii="华文仿宋" w:hAnsi="华文仿宋" w:eastAsia="华文仿宋"/>
                <w:sz w:val="24"/>
                <w:szCs w:val="24"/>
              </w:rPr>
              <w:t>机构投资者凭授权书及账户信息，可至网点查询理财产品持有情况、交易情况等。投资者还可至相应电子渠道，查询理财产品持有情况、交易情况等。</w:t>
            </w:r>
          </w:p>
          <w:p>
            <w:pPr>
              <w:numPr>
                <w:ilvl w:val="0"/>
                <w:numId w:val="0"/>
              </w:numPr>
              <w:spacing w:line="360" w:lineRule="exact"/>
              <w:ind w:firstLine="480" w:firstLineChars="200"/>
              <w:rPr>
                <w:rFonts w:hint="eastAsia" w:ascii="华文仿宋" w:hAnsi="华文仿宋" w:eastAsia="华文仿宋"/>
                <w:b w:val="0"/>
                <w:bCs/>
                <w:sz w:val="24"/>
                <w:szCs w:val="24"/>
              </w:rPr>
            </w:pPr>
            <w:r>
              <w:rPr>
                <w:rFonts w:hint="eastAsia" w:ascii="华文仿宋" w:hAnsi="华文仿宋" w:eastAsia="华文仿宋"/>
                <w:b/>
                <w:sz w:val="24"/>
                <w:szCs w:val="24"/>
                <w:lang w:val="en-US" w:eastAsia="zh-CN"/>
              </w:rPr>
              <w:t>6.投资冷静期：</w:t>
            </w:r>
            <w:r>
              <w:rPr>
                <w:rFonts w:hint="eastAsia" w:ascii="华文仿宋" w:hAnsi="华文仿宋" w:eastAsia="华文仿宋"/>
                <w:b w:val="0"/>
                <w:bCs/>
                <w:sz w:val="24"/>
                <w:szCs w:val="24"/>
                <w:lang w:val="en-US" w:eastAsia="zh-CN"/>
              </w:rPr>
              <w:t>自您签订本协议起二十五小时内，如果您改变决定，解除签订的销售协议，我行将及时退还您的全部投资款项，在此二十五小时之内即为投资冷静期，投资冷静期自销售协议签字确认后起算。</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spacing w:line="360" w:lineRule="exact"/>
              <w:ind w:firstLine="570"/>
              <w:rPr>
                <w:rFonts w:hint="eastAsia" w:ascii="华文仿宋" w:hAnsi="华文仿宋" w:eastAsia="华文仿宋"/>
                <w:sz w:val="24"/>
                <w:szCs w:val="24"/>
              </w:rPr>
            </w:pPr>
            <w:r>
              <w:rPr>
                <w:rFonts w:hint="eastAsia" w:ascii="华文仿宋" w:hAnsi="华文仿宋" w:eastAsia="华文仿宋"/>
                <w:sz w:val="24"/>
                <w:szCs w:val="24"/>
              </w:rPr>
              <w:t>机构客户请根据自身的</w:t>
            </w:r>
            <w:r>
              <w:rPr>
                <w:rFonts w:ascii="华文仿宋" w:hAnsi="华文仿宋" w:eastAsia="华文仿宋"/>
                <w:sz w:val="24"/>
                <w:szCs w:val="24"/>
              </w:rPr>
              <w:t>财务状况、投资经验、投资目的、收益预期、风险偏好、流动性要求、风险认识以及风险损失承受程度等</w:t>
            </w:r>
            <w:r>
              <w:rPr>
                <w:rFonts w:hint="eastAsia" w:ascii="华文仿宋" w:hAnsi="华文仿宋" w:eastAsia="华文仿宋"/>
                <w:sz w:val="24"/>
                <w:szCs w:val="24"/>
              </w:rPr>
              <w:t>及其他因素综合考量理财的投资风险及自身的风险承受能力，本行不再对其进行风险承受能力评估。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69" w:hRule="atLeast"/>
        </w:trPr>
        <w:tc>
          <w:tcPr>
            <w:tcW w:w="10180"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1）法律法规要求披露的；（2）司法部门或监管机构依法要求披露的；（3）银行在本产品说明书项下，为履行义务或行使权利需要向银行的外部专业顾问机构披露和允许银行的外部专业顾问机构在保密基础上使用的；（4）投资者另行明确同意或授权银行进行披露的。（5）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913" w:bottom="1440" w:left="91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C55235"/>
    <w:rsid w:val="061C4A83"/>
    <w:rsid w:val="09D22541"/>
    <w:rsid w:val="10F35708"/>
    <w:rsid w:val="124D5C33"/>
    <w:rsid w:val="142F3270"/>
    <w:rsid w:val="202A1905"/>
    <w:rsid w:val="263F2D8F"/>
    <w:rsid w:val="30344874"/>
    <w:rsid w:val="305256B9"/>
    <w:rsid w:val="35A9467C"/>
    <w:rsid w:val="38395D53"/>
    <w:rsid w:val="3C036DD7"/>
    <w:rsid w:val="44DB0056"/>
    <w:rsid w:val="51587F31"/>
    <w:rsid w:val="54532A75"/>
    <w:rsid w:val="5B112D71"/>
    <w:rsid w:val="65884D79"/>
    <w:rsid w:val="65D6279D"/>
    <w:rsid w:val="682863FC"/>
    <w:rsid w:val="6B4C2CA0"/>
    <w:rsid w:val="73C14BA9"/>
    <w:rsid w:val="7DA4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2020-10-13T07:57:00Z</cp:lastPrinted>
  <dcterms:modified xsi:type="dcterms:W3CDTF">2021-01-29T08:49:23Z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